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Pr="008A0EB8" w:rsidRDefault="008A0EB8" w:rsidP="004F78FA">
      <w:pPr>
        <w:adjustRightInd w:val="0"/>
        <w:snapToGrid w:val="0"/>
        <w:spacing w:line="480" w:lineRule="exact"/>
        <w:ind w:firstLineChars="0" w:firstLine="0"/>
        <w:jc w:val="center"/>
        <w:rPr>
          <w:rFonts w:ascii="仿宋" w:eastAsia="仿宋" w:hAnsi="仿宋"/>
          <w:b/>
          <w:sz w:val="44"/>
          <w:szCs w:val="44"/>
        </w:rPr>
      </w:pPr>
    </w:p>
    <w:p w:rsidR="008A0EB8" w:rsidRPr="007E7372" w:rsidRDefault="008A0EB8" w:rsidP="004F78FA">
      <w:pPr>
        <w:adjustRightInd w:val="0"/>
        <w:snapToGrid w:val="0"/>
        <w:spacing w:line="480" w:lineRule="exact"/>
        <w:ind w:firstLineChars="0" w:firstLine="0"/>
        <w:jc w:val="center"/>
        <w:rPr>
          <w:rFonts w:ascii="黑体" w:eastAsia="黑体" w:hAnsi="黑体"/>
          <w:b/>
          <w:sz w:val="36"/>
          <w:szCs w:val="36"/>
        </w:rPr>
      </w:pPr>
      <w:r w:rsidRPr="007E7372">
        <w:rPr>
          <w:rFonts w:ascii="黑体" w:eastAsia="黑体" w:hAnsi="黑体" w:hint="eastAsia"/>
          <w:b/>
          <w:sz w:val="44"/>
          <w:szCs w:val="44"/>
        </w:rPr>
        <w:t>上</w:t>
      </w:r>
      <w:r w:rsidRPr="007E7372">
        <w:rPr>
          <w:rFonts w:ascii="黑体" w:eastAsia="黑体" w:hAnsi="黑体" w:hint="eastAsia"/>
          <w:b/>
          <w:sz w:val="36"/>
          <w:szCs w:val="36"/>
        </w:rPr>
        <w:t>海市普陀区人民法院知识产权保护十大案例</w:t>
      </w:r>
    </w:p>
    <w:p w:rsidR="008A0EB8" w:rsidRPr="008A0EB8" w:rsidRDefault="008A0EB8" w:rsidP="004F78FA">
      <w:pPr>
        <w:adjustRightInd w:val="0"/>
        <w:snapToGrid w:val="0"/>
        <w:spacing w:line="480" w:lineRule="exact"/>
        <w:ind w:firstLineChars="0" w:firstLine="0"/>
        <w:jc w:val="center"/>
        <w:rPr>
          <w:rFonts w:ascii="仿宋" w:eastAsia="仿宋" w:hAnsi="仿宋"/>
          <w:b/>
          <w:sz w:val="44"/>
          <w:szCs w:val="44"/>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4F78FA">
      <w:pPr>
        <w:adjustRightInd w:val="0"/>
        <w:snapToGrid w:val="0"/>
        <w:spacing w:line="480" w:lineRule="exact"/>
        <w:ind w:firstLineChars="0" w:firstLine="0"/>
        <w:jc w:val="center"/>
        <w:rPr>
          <w:rFonts w:ascii="仿宋" w:eastAsia="仿宋" w:hAnsi="仿宋"/>
          <w:b/>
          <w:sz w:val="28"/>
          <w:szCs w:val="28"/>
        </w:rPr>
      </w:pPr>
    </w:p>
    <w:p w:rsidR="008A0EB8" w:rsidRDefault="008A0EB8" w:rsidP="008A0EB8">
      <w:pPr>
        <w:adjustRightInd w:val="0"/>
        <w:snapToGrid w:val="0"/>
        <w:spacing w:line="480" w:lineRule="exact"/>
        <w:ind w:firstLineChars="890" w:firstLine="2502"/>
        <w:rPr>
          <w:rFonts w:ascii="仿宋" w:eastAsia="仿宋" w:hAnsi="仿宋"/>
          <w:b/>
          <w:sz w:val="28"/>
          <w:szCs w:val="28"/>
        </w:rPr>
      </w:pPr>
      <w:r>
        <w:rPr>
          <w:rFonts w:ascii="仿宋" w:eastAsia="仿宋" w:hAnsi="仿宋" w:hint="eastAsia"/>
          <w:b/>
          <w:sz w:val="28"/>
          <w:szCs w:val="28"/>
        </w:rPr>
        <w:t>上海市普陀区人民法院</w:t>
      </w:r>
    </w:p>
    <w:p w:rsidR="007507F4" w:rsidRDefault="007507F4" w:rsidP="004F78FA">
      <w:pPr>
        <w:adjustRightInd w:val="0"/>
        <w:snapToGrid w:val="0"/>
        <w:spacing w:line="480" w:lineRule="exact"/>
        <w:ind w:firstLineChars="0" w:firstLine="0"/>
        <w:jc w:val="center"/>
        <w:rPr>
          <w:rFonts w:ascii="仿宋" w:eastAsia="仿宋" w:hAnsi="仿宋" w:hint="eastAsia"/>
          <w:b/>
          <w:sz w:val="28"/>
          <w:szCs w:val="28"/>
        </w:rPr>
      </w:pPr>
    </w:p>
    <w:p w:rsidR="007E7372" w:rsidRDefault="007E7372" w:rsidP="004F78FA">
      <w:pPr>
        <w:adjustRightInd w:val="0"/>
        <w:snapToGrid w:val="0"/>
        <w:spacing w:line="480" w:lineRule="exact"/>
        <w:ind w:firstLineChars="0" w:firstLine="0"/>
        <w:jc w:val="center"/>
        <w:rPr>
          <w:rFonts w:ascii="仿宋" w:eastAsia="仿宋" w:hAnsi="仿宋" w:hint="eastAsia"/>
          <w:b/>
          <w:sz w:val="28"/>
          <w:szCs w:val="28"/>
        </w:rPr>
      </w:pPr>
    </w:p>
    <w:p w:rsidR="004F78FA" w:rsidRPr="004F78FA" w:rsidRDefault="004F78FA" w:rsidP="004F78FA">
      <w:pPr>
        <w:adjustRightInd w:val="0"/>
        <w:snapToGrid w:val="0"/>
        <w:spacing w:line="480" w:lineRule="exact"/>
        <w:ind w:firstLineChars="0" w:firstLine="0"/>
        <w:jc w:val="center"/>
        <w:rPr>
          <w:rFonts w:ascii="仿宋" w:eastAsia="仿宋" w:hAnsi="仿宋"/>
          <w:b/>
          <w:sz w:val="28"/>
          <w:szCs w:val="28"/>
        </w:rPr>
      </w:pPr>
      <w:r w:rsidRPr="004F78FA">
        <w:rPr>
          <w:rFonts w:ascii="仿宋" w:eastAsia="仿宋" w:hAnsi="仿宋" w:hint="eastAsia"/>
          <w:b/>
          <w:sz w:val="28"/>
          <w:szCs w:val="28"/>
        </w:rPr>
        <w:lastRenderedPageBreak/>
        <w:t>对比广告足以引人误解的构成虚假宣传</w:t>
      </w:r>
    </w:p>
    <w:p w:rsidR="004F78FA" w:rsidRPr="004F78FA" w:rsidRDefault="004F78FA" w:rsidP="004F78FA">
      <w:pPr>
        <w:adjustRightInd w:val="0"/>
        <w:snapToGrid w:val="0"/>
        <w:spacing w:line="480" w:lineRule="exact"/>
        <w:ind w:firstLineChars="0" w:firstLine="0"/>
        <w:jc w:val="center"/>
        <w:rPr>
          <w:rFonts w:ascii="仿宋" w:eastAsia="仿宋" w:hAnsi="仿宋" w:cs="宋体"/>
          <w:kern w:val="0"/>
          <w:sz w:val="28"/>
          <w:szCs w:val="28"/>
        </w:rPr>
      </w:pPr>
      <w:r w:rsidRPr="004F78FA">
        <w:rPr>
          <w:rFonts w:ascii="仿宋" w:eastAsia="仿宋" w:hAnsi="仿宋" w:cs="宋体" w:hint="eastAsia"/>
          <w:kern w:val="0"/>
          <w:sz w:val="28"/>
          <w:szCs w:val="28"/>
        </w:rPr>
        <w:t>——车王诉“瓜子”二手车不正当竞争纠纷案</w:t>
      </w:r>
    </w:p>
    <w:p w:rsidR="00FF7D45" w:rsidRDefault="00FF7D45" w:rsidP="00FF7D45">
      <w:pPr>
        <w:adjustRightInd w:val="0"/>
        <w:snapToGrid w:val="0"/>
        <w:spacing w:line="480" w:lineRule="exact"/>
        <w:ind w:firstLineChars="0" w:firstLine="0"/>
        <w:rPr>
          <w:rFonts w:ascii="仿宋" w:eastAsia="仿宋" w:hAnsi="仿宋"/>
          <w:b/>
          <w:bCs/>
          <w:sz w:val="28"/>
          <w:szCs w:val="28"/>
        </w:rPr>
      </w:pPr>
    </w:p>
    <w:p w:rsidR="004F78FA" w:rsidRPr="004F78FA" w:rsidRDefault="004F78FA" w:rsidP="00FF7D45">
      <w:pPr>
        <w:adjustRightInd w:val="0"/>
        <w:snapToGrid w:val="0"/>
        <w:spacing w:line="480" w:lineRule="exact"/>
        <w:ind w:firstLineChars="196" w:firstLine="551"/>
        <w:rPr>
          <w:rFonts w:ascii="仿宋" w:eastAsia="仿宋" w:hAnsi="仿宋"/>
          <w:b/>
          <w:bCs/>
          <w:sz w:val="28"/>
          <w:szCs w:val="28"/>
        </w:rPr>
      </w:pPr>
      <w:r w:rsidRPr="004F78FA">
        <w:rPr>
          <w:rFonts w:ascii="仿宋" w:eastAsia="仿宋" w:hAnsi="仿宋" w:hint="eastAsia"/>
          <w:b/>
          <w:bCs/>
          <w:sz w:val="28"/>
          <w:szCs w:val="28"/>
        </w:rPr>
        <w:t>案情简介：</w:t>
      </w:r>
    </w:p>
    <w:p w:rsidR="004F78FA" w:rsidRPr="004F78FA" w:rsidRDefault="004F78FA" w:rsidP="004F78FA">
      <w:pPr>
        <w:spacing w:line="480" w:lineRule="exact"/>
        <w:ind w:firstLine="560"/>
        <w:rPr>
          <w:rFonts w:ascii="仿宋" w:eastAsia="仿宋" w:hAnsi="仿宋" w:cs="宋体"/>
          <w:kern w:val="0"/>
          <w:sz w:val="28"/>
          <w:szCs w:val="28"/>
        </w:rPr>
      </w:pPr>
      <w:r w:rsidRPr="004F78FA">
        <w:rPr>
          <w:rFonts w:ascii="仿宋" w:eastAsia="仿宋" w:hAnsi="仿宋" w:cs="宋体" w:hint="eastAsia"/>
          <w:kern w:val="0"/>
          <w:sz w:val="28"/>
          <w:szCs w:val="28"/>
        </w:rPr>
        <w:t>原告车王公司系一家从事二手车经营的公司，在全国设有30余家实体店。其主要经营模式为传统模式，即规模化购入二手车，翻新后出售给消费者。被告车好多公司同为二手车经营公司，其通过“瓜子二手车直卖网”等平台，在经营活动中高频次使用“没有中间商赚差价”、“比车商多卖XX元”等宣传用语，引起较大社会关注。车王公司认为，车好多公司将其运营的瓜子二手车平台与包括车王公司在内的经营者进行片面的对比宣传，“无差价”</w:t>
      </w:r>
      <w:r w:rsidR="00D501F3">
        <w:rPr>
          <w:rFonts w:ascii="仿宋" w:eastAsia="仿宋" w:hAnsi="仿宋" w:cs="宋体" w:hint="eastAsia"/>
          <w:kern w:val="0"/>
          <w:sz w:val="28"/>
          <w:szCs w:val="28"/>
        </w:rPr>
        <w:t>、</w:t>
      </w:r>
      <w:r w:rsidRPr="004F78FA">
        <w:rPr>
          <w:rFonts w:ascii="仿宋" w:eastAsia="仿宋" w:hAnsi="仿宋" w:cs="宋体" w:hint="eastAsia"/>
          <w:kern w:val="0"/>
          <w:sz w:val="28"/>
          <w:szCs w:val="28"/>
        </w:rPr>
        <w:t>“多卖XX元”等宣传用语并无事实依据，易造成误导，使消费者相信在瓜子平台上可以实现“车主多卖钱，买家少花钱”的双赢局面，严重影响了消费者对二手车交易渠道的判断和选择，贬损了包括原告在内的传统车商在消费者心目中的形象与声誉，导致原告流失了大量二手车车源和顾客群体，构成虚假宣传。故原告诉请要求被告停止侵权并赔偿经济损失1,000万元及合理开支6.8万元。被告车好多公司则认为，其从事的是二手车经纪服务，作为平台方，仅提供居间服务，促成交易后按照比例收取服务费，该模式与原告模式不同，故“没有中间商赚差价”是对其自身商业模式的客观描述；“多卖XX元”亦来源于相关大数据分析，不属于虚假宣传，且相关宣传并未指向车王公司，亦未对车王公司造成损失，故损害赔偿等诉请并无事实和法律依据。</w:t>
      </w:r>
    </w:p>
    <w:p w:rsidR="00FF7D45" w:rsidRDefault="00FF7D45" w:rsidP="004F78FA">
      <w:pPr>
        <w:spacing w:line="480" w:lineRule="exact"/>
        <w:ind w:firstLine="562"/>
        <w:rPr>
          <w:rFonts w:ascii="仿宋" w:eastAsia="仿宋" w:hAnsi="仿宋"/>
          <w:b/>
          <w:bCs/>
          <w:sz w:val="28"/>
          <w:szCs w:val="28"/>
        </w:rPr>
      </w:pPr>
    </w:p>
    <w:p w:rsidR="004F78FA" w:rsidRPr="004F78FA" w:rsidRDefault="004F78FA" w:rsidP="004F78FA">
      <w:pPr>
        <w:spacing w:line="480" w:lineRule="exact"/>
        <w:ind w:firstLine="562"/>
        <w:rPr>
          <w:rFonts w:ascii="仿宋" w:eastAsia="仿宋" w:hAnsi="仿宋"/>
          <w:b/>
          <w:bCs/>
          <w:sz w:val="28"/>
          <w:szCs w:val="28"/>
        </w:rPr>
      </w:pPr>
      <w:r w:rsidRPr="004F78FA">
        <w:rPr>
          <w:rFonts w:ascii="仿宋" w:eastAsia="仿宋" w:hAnsi="仿宋" w:hint="eastAsia"/>
          <w:b/>
          <w:bCs/>
          <w:sz w:val="28"/>
          <w:szCs w:val="28"/>
        </w:rPr>
        <w:t>裁判理由：</w:t>
      </w:r>
    </w:p>
    <w:p w:rsidR="004F78FA" w:rsidRPr="004F78FA" w:rsidRDefault="004F78FA" w:rsidP="004F78FA">
      <w:pPr>
        <w:spacing w:line="480" w:lineRule="exact"/>
        <w:ind w:firstLine="560"/>
        <w:rPr>
          <w:rFonts w:ascii="仿宋" w:eastAsia="仿宋" w:hAnsi="仿宋" w:cs="宋体"/>
          <w:kern w:val="0"/>
          <w:sz w:val="28"/>
          <w:szCs w:val="28"/>
        </w:rPr>
      </w:pPr>
      <w:r w:rsidRPr="004F78FA">
        <w:rPr>
          <w:rFonts w:ascii="仿宋" w:eastAsia="仿宋" w:hAnsi="仿宋" w:cs="宋体" w:hint="eastAsia"/>
          <w:kern w:val="0"/>
          <w:sz w:val="28"/>
          <w:szCs w:val="28"/>
        </w:rPr>
        <w:t>法院认为，根据《反不正</w:t>
      </w:r>
      <w:r w:rsidR="00D501F3">
        <w:rPr>
          <w:rFonts w:ascii="仿宋" w:eastAsia="仿宋" w:hAnsi="仿宋" w:cs="宋体" w:hint="eastAsia"/>
          <w:kern w:val="0"/>
          <w:sz w:val="28"/>
          <w:szCs w:val="28"/>
        </w:rPr>
        <w:t>当</w:t>
      </w:r>
      <w:r w:rsidRPr="004F78FA">
        <w:rPr>
          <w:rFonts w:ascii="仿宋" w:eastAsia="仿宋" w:hAnsi="仿宋" w:cs="宋体" w:hint="eastAsia"/>
          <w:kern w:val="0"/>
          <w:sz w:val="28"/>
          <w:szCs w:val="28"/>
        </w:rPr>
        <w:t>竞争法》及相关司法解释的规定，经营者不得对其商品的性能、功能、质量、销售状况、用户评价、曾获荣誉等作虚假或者引人误解的商业宣传，欺骗、误导消费者；对商品作片面的宣传或者对比可以认定为引人误解的虚假宣传行为。具体而言，首先，判定对比广告是否构成虚假宣传，应分析该</w:t>
      </w:r>
      <w:r w:rsidR="00D501F3">
        <w:rPr>
          <w:rFonts w:ascii="仿宋" w:eastAsia="仿宋" w:hAnsi="仿宋" w:cs="宋体" w:hint="eastAsia"/>
          <w:kern w:val="0"/>
          <w:sz w:val="28"/>
          <w:szCs w:val="28"/>
        </w:rPr>
        <w:t>对比</w:t>
      </w:r>
      <w:r w:rsidRPr="004F78FA">
        <w:rPr>
          <w:rFonts w:ascii="仿宋" w:eastAsia="仿宋" w:hAnsi="仿宋" w:cs="宋体" w:hint="eastAsia"/>
          <w:kern w:val="0"/>
          <w:sz w:val="28"/>
          <w:szCs w:val="28"/>
        </w:rPr>
        <w:t>广告本身</w:t>
      </w:r>
      <w:r w:rsidRPr="004F78FA">
        <w:rPr>
          <w:rFonts w:ascii="仿宋" w:eastAsia="仿宋" w:hAnsi="仿宋" w:cs="宋体" w:hint="eastAsia"/>
          <w:kern w:val="0"/>
          <w:sz w:val="28"/>
          <w:szCs w:val="28"/>
        </w:rPr>
        <w:lastRenderedPageBreak/>
        <w:t>是否有事实依据，是否构成虚假陈述以及其是否达到引人误解的程度，是否会影响消费者的判断，进而影响公平竞争的秩序和其他经营者、消费者的合法权益。其次，虚假宣传并不以被侵权人受到直接损害为构成要件，泛主体有权提起诉讼；但对于损害赔偿的认定，仍应以其是否遭受直接损失为判断标准。</w:t>
      </w:r>
    </w:p>
    <w:p w:rsidR="004F78FA" w:rsidRPr="004F78FA" w:rsidRDefault="004F78FA" w:rsidP="004F78FA">
      <w:pPr>
        <w:spacing w:line="480" w:lineRule="exact"/>
        <w:ind w:firstLine="560"/>
        <w:rPr>
          <w:rFonts w:ascii="仿宋" w:eastAsia="仿宋" w:hAnsi="仿宋" w:cs="宋体"/>
          <w:kern w:val="0"/>
          <w:sz w:val="28"/>
          <w:szCs w:val="28"/>
        </w:rPr>
      </w:pPr>
      <w:r w:rsidRPr="004F78FA">
        <w:rPr>
          <w:rFonts w:ascii="仿宋" w:eastAsia="仿宋" w:hAnsi="仿宋" w:cs="宋体" w:hint="eastAsia"/>
          <w:kern w:val="0"/>
          <w:sz w:val="28"/>
          <w:szCs w:val="28"/>
        </w:rPr>
        <w:t>本案中，被告提供二手车居间服务，广告语“没有中间商赚差价”基本符合其商业模式，不属于虚假陈述。对于一个商业主体而言，其在进行宣传推广时必然会趋向于选择最能体现其商业模式、产品、服务最大优势的表述方式，法律并未要求其在与其他商业主体进行对比宣传时，必须全面展示自己商业模式、产品、服务的所有优缺点，并与他方逐一进行比较说明。只要该宣传没有明显超出合理范围，未达到引人误解的程度，即不具有法律上的可苛责性。汽车不同于生活中一般的低值易耗品，相关消费者在进行交易时，必然会对交易条件、交易平台、交易对象、交易安全施以更全面、更审慎的合理注意义务，一般也不会将“没有中间商赚差价”误解为瓜子平台系提供免费服务。故上述宣传用语尚未达到“引人误解”的程度，不构成虚假宣传。而广告语“比车商多卖XX元”，逐车精确到数字，被告却无法提供相关数据的来源，在宣传时亦未标明系采取比较同时段、同类型二手车交易数据的方式，基于二手车一车一价的特性，可能使消费者误解系同一辆二手车在不同平台的询价结果，构成虚假宣传。基于此，车王公司作为泛主体具备诉讼资格，得以就被告的虚假宣传行为</w:t>
      </w:r>
      <w:r w:rsidR="00D501F3">
        <w:rPr>
          <w:rFonts w:ascii="仿宋" w:eastAsia="仿宋" w:hAnsi="仿宋" w:cs="宋体" w:hint="eastAsia"/>
          <w:kern w:val="0"/>
          <w:sz w:val="28"/>
          <w:szCs w:val="28"/>
        </w:rPr>
        <w:t>提出</w:t>
      </w:r>
      <w:r w:rsidRPr="004F78FA">
        <w:rPr>
          <w:rFonts w:ascii="仿宋" w:eastAsia="仿宋" w:hAnsi="仿宋" w:cs="宋体" w:hint="eastAsia"/>
          <w:kern w:val="0"/>
          <w:sz w:val="28"/>
          <w:szCs w:val="28"/>
        </w:rPr>
        <w:t>停止侵权的诉请。但对于其损害赔偿的主张，由于其未能举证证明其合法权益因该虚假宣传行为受</w:t>
      </w:r>
      <w:r w:rsidR="00503F47">
        <w:rPr>
          <w:rFonts w:ascii="仿宋" w:eastAsia="仿宋" w:hAnsi="仿宋" w:cs="宋体" w:hint="eastAsia"/>
          <w:kern w:val="0"/>
          <w:sz w:val="28"/>
          <w:szCs w:val="28"/>
        </w:rPr>
        <w:t>到</w:t>
      </w:r>
      <w:r w:rsidRPr="004F78FA">
        <w:rPr>
          <w:rFonts w:ascii="仿宋" w:eastAsia="仿宋" w:hAnsi="仿宋" w:cs="宋体" w:hint="eastAsia"/>
          <w:kern w:val="0"/>
          <w:sz w:val="28"/>
          <w:szCs w:val="28"/>
        </w:rPr>
        <w:t>直接损害，故对该诉请不予支持。据此，法院判令车好多公司立即停止使用“比车商多卖XX元”宣传用语的不正当竞争行为，并赔偿车王公司合理费用6.8万元，驳回车王公司的其他诉请。</w:t>
      </w:r>
    </w:p>
    <w:p w:rsidR="00FF7D45" w:rsidRDefault="00FF7D45" w:rsidP="004F78FA">
      <w:pPr>
        <w:spacing w:line="480" w:lineRule="exact"/>
        <w:ind w:firstLine="562"/>
        <w:rPr>
          <w:rFonts w:ascii="仿宋" w:eastAsia="仿宋" w:hAnsi="仿宋" w:cs="宋体"/>
          <w:b/>
          <w:kern w:val="0"/>
          <w:sz w:val="28"/>
          <w:szCs w:val="28"/>
        </w:rPr>
      </w:pPr>
    </w:p>
    <w:p w:rsidR="004F78FA" w:rsidRPr="004F78FA" w:rsidRDefault="004F78FA" w:rsidP="004F78FA">
      <w:pPr>
        <w:spacing w:line="480" w:lineRule="exact"/>
        <w:ind w:firstLine="562"/>
        <w:rPr>
          <w:rFonts w:ascii="仿宋" w:eastAsia="仿宋" w:hAnsi="仿宋" w:cs="宋体"/>
          <w:b/>
          <w:kern w:val="0"/>
          <w:sz w:val="28"/>
          <w:szCs w:val="28"/>
        </w:rPr>
      </w:pPr>
      <w:r w:rsidRPr="004F78FA">
        <w:rPr>
          <w:rFonts w:ascii="仿宋" w:eastAsia="仿宋" w:hAnsi="仿宋" w:cs="宋体" w:hint="eastAsia"/>
          <w:b/>
          <w:kern w:val="0"/>
          <w:sz w:val="28"/>
          <w:szCs w:val="28"/>
        </w:rPr>
        <w:t>专家点评：</w:t>
      </w:r>
    </w:p>
    <w:p w:rsidR="00FF7D45" w:rsidRDefault="004F78FA" w:rsidP="00FF7D45">
      <w:pPr>
        <w:spacing w:line="480" w:lineRule="exact"/>
        <w:ind w:firstLine="560"/>
        <w:rPr>
          <w:rFonts w:ascii="仿宋" w:eastAsia="仿宋" w:hAnsi="仿宋"/>
          <w:color w:val="000000"/>
          <w:sz w:val="28"/>
          <w:szCs w:val="28"/>
          <w:shd w:val="clear" w:color="auto" w:fill="FFFFFF"/>
        </w:rPr>
      </w:pPr>
      <w:r w:rsidRPr="004F78FA">
        <w:rPr>
          <w:rFonts w:ascii="仿宋" w:eastAsia="仿宋" w:hAnsi="仿宋" w:hint="eastAsia"/>
          <w:color w:val="000000"/>
          <w:sz w:val="28"/>
          <w:szCs w:val="28"/>
          <w:shd w:val="clear" w:color="auto" w:fill="FFFFFF"/>
        </w:rPr>
        <w:t>本案系一起涉及知名对比广告是否构成虚假宣传之不正当竞争</w:t>
      </w:r>
      <w:r w:rsidRPr="004F78FA">
        <w:rPr>
          <w:rFonts w:ascii="仿宋" w:eastAsia="仿宋" w:hAnsi="仿宋" w:hint="eastAsia"/>
          <w:color w:val="000000"/>
          <w:sz w:val="28"/>
          <w:szCs w:val="28"/>
          <w:shd w:val="clear" w:color="auto" w:fill="FFFFFF"/>
        </w:rPr>
        <w:lastRenderedPageBreak/>
        <w:t>行为的典型案件，社会关注度较高。该判决通过多维度且细致深入的分析对比，明确《反不正当竞争法》所规制的行为主体所具有的广义性特征，确认了泛主体在虚假宣传诉讼中作为原告的适格性。针对司法实践中存在较多争议的“引人误解”之虚假宣传行为的判定标准，判决准确适用《广告法》、《反不正当竞争法》及其相应司法解释，将没有超出合理范围、尚未达到引人误解程度的广告宣传行为排除在虚假宣传行为之外。此外，该判决还对损害后果与虚假宣传行为构成要件和损害赔偿责任承担之间的关系予以梳理，明确损害后果虽非虚假宣传行为构成要件但影响损害赔偿责任之承担。整篇文书事实查明客观详实、论证理由充分严谨、逻辑推理清晰严密、适用法律全面准确，不但为广告行业的有序竞争进行了积极的司法指引，也对今后虚假宣传类案纠纷的司法裁判起到了典型的示范作用，充分展现了上海法院知产法官对此类反不正当竞争案件审理的专业水准。</w:t>
      </w:r>
    </w:p>
    <w:p w:rsidR="004F78FA" w:rsidRPr="004F78FA" w:rsidRDefault="004F78FA" w:rsidP="00FF7D45">
      <w:pPr>
        <w:spacing w:line="480" w:lineRule="exact"/>
        <w:ind w:firstLine="560"/>
        <w:rPr>
          <w:rFonts w:ascii="仿宋" w:eastAsia="仿宋" w:hAnsi="仿宋"/>
          <w:color w:val="000000"/>
          <w:sz w:val="28"/>
          <w:szCs w:val="28"/>
          <w:shd w:val="clear" w:color="auto" w:fill="FFFFFF"/>
        </w:rPr>
      </w:pPr>
      <w:r w:rsidRPr="004F78FA">
        <w:rPr>
          <w:rFonts w:ascii="仿宋" w:eastAsia="仿宋" w:hAnsi="仿宋" w:hint="eastAsia"/>
          <w:color w:val="000000"/>
          <w:sz w:val="28"/>
          <w:szCs w:val="28"/>
          <w:shd w:val="clear" w:color="auto" w:fill="FFFFFF"/>
        </w:rPr>
        <w:t>（点评人：王静，</w:t>
      </w:r>
      <w:r w:rsidR="00B41349">
        <w:rPr>
          <w:rFonts w:ascii="仿宋" w:eastAsia="仿宋" w:hAnsi="仿宋" w:hint="eastAsia"/>
          <w:color w:val="000000"/>
          <w:sz w:val="28"/>
          <w:szCs w:val="28"/>
          <w:shd w:val="clear" w:color="auto" w:fill="FFFFFF"/>
        </w:rPr>
        <w:t>三级高级法官，</w:t>
      </w:r>
      <w:r w:rsidRPr="004F78FA">
        <w:rPr>
          <w:rFonts w:ascii="仿宋" w:eastAsia="仿宋" w:hAnsi="仿宋" w:hint="eastAsia"/>
          <w:color w:val="000000"/>
          <w:sz w:val="28"/>
          <w:szCs w:val="28"/>
          <w:shd w:val="clear" w:color="auto" w:fill="FFFFFF"/>
        </w:rPr>
        <w:t>上海市高级人民法院知识产权庭</w:t>
      </w:r>
      <w:r w:rsidR="00B41349">
        <w:rPr>
          <w:rFonts w:ascii="仿宋" w:eastAsia="仿宋" w:hAnsi="仿宋" w:hint="eastAsia"/>
          <w:color w:val="000000"/>
          <w:sz w:val="28"/>
          <w:szCs w:val="28"/>
          <w:shd w:val="clear" w:color="auto" w:fill="FFFFFF"/>
        </w:rPr>
        <w:t>审判长</w:t>
      </w:r>
      <w:r w:rsidRPr="004F78FA">
        <w:rPr>
          <w:rFonts w:ascii="仿宋" w:eastAsia="仿宋" w:hAnsi="仿宋" w:hint="eastAsia"/>
          <w:color w:val="000000"/>
          <w:sz w:val="28"/>
          <w:szCs w:val="28"/>
          <w:shd w:val="clear" w:color="auto" w:fill="FFFFFF"/>
        </w:rPr>
        <w:t>）</w:t>
      </w:r>
    </w:p>
    <w:p w:rsidR="004F78FA" w:rsidRPr="004F78FA" w:rsidRDefault="004F78FA">
      <w:pPr>
        <w:widowControl/>
        <w:spacing w:line="240" w:lineRule="auto"/>
        <w:ind w:firstLineChars="0" w:firstLine="0"/>
        <w:jc w:val="left"/>
      </w:pPr>
      <w:r w:rsidRPr="004F78FA">
        <w:br w:type="page"/>
      </w:r>
    </w:p>
    <w:p w:rsidR="004F78FA" w:rsidRPr="004F78FA" w:rsidRDefault="004F78FA" w:rsidP="00B41349">
      <w:pPr>
        <w:spacing w:line="480" w:lineRule="exact"/>
        <w:ind w:firstLine="562"/>
        <w:jc w:val="center"/>
        <w:rPr>
          <w:rFonts w:ascii="仿宋" w:eastAsia="仿宋" w:hAnsi="仿宋" w:cs="仿宋"/>
          <w:b/>
          <w:sz w:val="28"/>
          <w:szCs w:val="28"/>
        </w:rPr>
      </w:pPr>
      <w:r w:rsidRPr="004F78FA">
        <w:rPr>
          <w:rFonts w:ascii="仿宋" w:eastAsia="仿宋" w:hAnsi="仿宋" w:cs="仿宋" w:hint="eastAsia"/>
          <w:b/>
          <w:sz w:val="28"/>
          <w:szCs w:val="28"/>
        </w:rPr>
        <w:lastRenderedPageBreak/>
        <w:t>著作权许可使用范围需结合各方因素综合判定</w:t>
      </w:r>
    </w:p>
    <w:p w:rsidR="004F78FA" w:rsidRPr="004F78FA" w:rsidRDefault="004F78FA" w:rsidP="004F78FA">
      <w:pPr>
        <w:spacing w:line="480" w:lineRule="exact"/>
        <w:ind w:firstLine="560"/>
        <w:jc w:val="center"/>
        <w:rPr>
          <w:rFonts w:ascii="仿宋" w:eastAsia="仿宋" w:hAnsi="仿宋" w:cs="仿宋"/>
          <w:sz w:val="28"/>
          <w:szCs w:val="28"/>
        </w:rPr>
      </w:pPr>
      <w:r w:rsidRPr="004F78FA">
        <w:rPr>
          <w:rFonts w:ascii="仿宋" w:eastAsia="仿宋" w:hAnsi="仿宋" w:cs="仿宋" w:hint="eastAsia"/>
          <w:sz w:val="28"/>
          <w:szCs w:val="28"/>
        </w:rPr>
        <w:t>——“凤姐设局”烟标著作权侵权纠纷案</w:t>
      </w:r>
    </w:p>
    <w:p w:rsidR="00FF7D45" w:rsidRDefault="00FF7D45" w:rsidP="004F78FA">
      <w:pPr>
        <w:spacing w:line="480" w:lineRule="exact"/>
        <w:ind w:firstLine="562"/>
        <w:rPr>
          <w:rFonts w:ascii="仿宋" w:eastAsia="仿宋" w:hAnsi="仿宋" w:cs="仿宋"/>
          <w:b/>
          <w:sz w:val="28"/>
          <w:szCs w:val="28"/>
        </w:rPr>
      </w:pPr>
    </w:p>
    <w:p w:rsidR="004F78FA" w:rsidRPr="004F78FA" w:rsidRDefault="004F78FA" w:rsidP="004F78FA">
      <w:pPr>
        <w:spacing w:line="480" w:lineRule="exact"/>
        <w:ind w:firstLine="562"/>
        <w:rPr>
          <w:rFonts w:ascii="仿宋" w:eastAsia="仿宋" w:hAnsi="仿宋" w:cs="仿宋"/>
          <w:b/>
          <w:sz w:val="28"/>
          <w:szCs w:val="28"/>
        </w:rPr>
      </w:pPr>
      <w:r w:rsidRPr="004F78FA">
        <w:rPr>
          <w:rFonts w:ascii="仿宋" w:eastAsia="仿宋" w:hAnsi="仿宋" w:cs="仿宋" w:hint="eastAsia"/>
          <w:b/>
          <w:sz w:val="28"/>
          <w:szCs w:val="28"/>
        </w:rPr>
        <w:t>案情简介：</w:t>
      </w:r>
    </w:p>
    <w:p w:rsidR="004F78FA" w:rsidRPr="004F78FA" w:rsidRDefault="004F78FA" w:rsidP="004F78FA">
      <w:pPr>
        <w:spacing w:line="480" w:lineRule="exact"/>
        <w:ind w:firstLine="560"/>
        <w:rPr>
          <w:rFonts w:ascii="仿宋" w:eastAsia="仿宋" w:hAnsi="仿宋" w:cs="仿宋"/>
          <w:sz w:val="28"/>
          <w:szCs w:val="28"/>
        </w:rPr>
      </w:pPr>
      <w:r w:rsidRPr="004F78FA">
        <w:rPr>
          <w:rFonts w:ascii="仿宋" w:eastAsia="仿宋" w:hAnsi="仿宋" w:cs="仿宋" w:hint="eastAsia"/>
          <w:sz w:val="28"/>
          <w:szCs w:val="28"/>
        </w:rPr>
        <w:t>刘旦宅先生系中国画大师，其绘制的“金陵十二钗”系列画作影响巨大。上世纪八十年</w:t>
      </w:r>
      <w:r w:rsidR="006D6272">
        <w:rPr>
          <w:rFonts w:ascii="仿宋" w:eastAsia="仿宋" w:hAnsi="仿宋" w:cs="仿宋" w:hint="eastAsia"/>
          <w:sz w:val="28"/>
          <w:szCs w:val="28"/>
        </w:rPr>
        <w:t>代</w:t>
      </w:r>
      <w:r w:rsidRPr="004F78FA">
        <w:rPr>
          <w:rFonts w:ascii="仿宋" w:eastAsia="仿宋" w:hAnsi="仿宋" w:cs="仿宋" w:hint="eastAsia"/>
          <w:sz w:val="28"/>
          <w:szCs w:val="28"/>
        </w:rPr>
        <w:t>，南京卷烟厂曾向社会征集“金陵十二钗”烟标设计，后因中标设计涉嫌抄袭周汝昌先生诗作而引发诉讼，由于该中标设计还涉嫌抄袭刘旦宅先生画作，因此机缘，刘旦宅先生与南京卷烟厂达成意向，将其“金陵十二钗”画作作</w:t>
      </w:r>
      <w:r w:rsidR="00D501F3">
        <w:rPr>
          <w:rFonts w:ascii="仿宋" w:eastAsia="仿宋" w:hAnsi="仿宋" w:cs="仿宋" w:hint="eastAsia"/>
          <w:sz w:val="28"/>
          <w:szCs w:val="28"/>
        </w:rPr>
        <w:t>“</w:t>
      </w:r>
      <w:r w:rsidRPr="004F78FA">
        <w:rPr>
          <w:rFonts w:ascii="仿宋" w:eastAsia="仿宋" w:hAnsi="仿宋" w:cs="仿宋" w:hint="eastAsia"/>
          <w:sz w:val="28"/>
          <w:szCs w:val="28"/>
        </w:rPr>
        <w:t>烟标</w:t>
      </w:r>
      <w:r w:rsidR="00D501F3">
        <w:rPr>
          <w:rFonts w:ascii="仿宋" w:eastAsia="仿宋" w:hAnsi="仿宋" w:cs="仿宋" w:hint="eastAsia"/>
          <w:sz w:val="28"/>
          <w:szCs w:val="28"/>
        </w:rPr>
        <w:t>”</w:t>
      </w:r>
      <w:r w:rsidRPr="004F78FA">
        <w:rPr>
          <w:rFonts w:ascii="仿宋" w:eastAsia="仿宋" w:hAnsi="仿宋" w:cs="仿宋" w:hint="eastAsia"/>
          <w:sz w:val="28"/>
          <w:szCs w:val="28"/>
        </w:rPr>
        <w:t>使用，其中一幅为《凤姐设局》。刘旦宅先生去世后，原告王微粼等作为继承人，有权就侵犯刘旦宅先生著作权的行为主张权利。原告发现，南京卷烟厂改制为被告江苏中烟公司，其在香烟的所有包装，包括一包烟、一条烟、一箱烟的包装上均有使用《凤姐设局》画作。原告认为，</w:t>
      </w:r>
      <w:r w:rsidR="00D501F3">
        <w:rPr>
          <w:rFonts w:ascii="仿宋" w:eastAsia="仿宋" w:hAnsi="仿宋" w:cs="仿宋" w:hint="eastAsia"/>
          <w:sz w:val="28"/>
          <w:szCs w:val="28"/>
        </w:rPr>
        <w:t>虽</w:t>
      </w:r>
      <w:r w:rsidRPr="004F78FA">
        <w:rPr>
          <w:rFonts w:ascii="仿宋" w:eastAsia="仿宋" w:hAnsi="仿宋" w:cs="仿宋" w:hint="eastAsia"/>
          <w:sz w:val="28"/>
          <w:szCs w:val="28"/>
        </w:rPr>
        <w:t>当年就画作作“烟标”使用达成协议，但“烟标”仅指一包烟的烟盒包装，被告擅自扩大画作使用范围的行为构成侵权，诉请要求被告停止侵权、消除影响并赔偿经济损失50万元。被告则认为，相关授权许可并非仅限于烟盒上使用，故不构成侵权。</w:t>
      </w:r>
    </w:p>
    <w:p w:rsidR="00FF7D45" w:rsidRDefault="00FF7D45" w:rsidP="004F78FA">
      <w:pPr>
        <w:spacing w:line="480" w:lineRule="exact"/>
        <w:ind w:firstLine="562"/>
        <w:rPr>
          <w:rFonts w:ascii="仿宋" w:eastAsia="仿宋" w:hAnsi="仿宋" w:cs="仿宋"/>
          <w:b/>
          <w:sz w:val="28"/>
          <w:szCs w:val="28"/>
        </w:rPr>
      </w:pPr>
    </w:p>
    <w:p w:rsidR="004F78FA" w:rsidRPr="004F78FA" w:rsidRDefault="004F78FA" w:rsidP="004F78FA">
      <w:pPr>
        <w:spacing w:line="480" w:lineRule="exact"/>
        <w:ind w:firstLine="562"/>
        <w:rPr>
          <w:rFonts w:ascii="仿宋" w:eastAsia="仿宋" w:hAnsi="仿宋" w:cs="仿宋"/>
          <w:b/>
          <w:sz w:val="28"/>
          <w:szCs w:val="28"/>
        </w:rPr>
      </w:pPr>
      <w:r w:rsidRPr="004F78FA">
        <w:rPr>
          <w:rFonts w:ascii="仿宋" w:eastAsia="仿宋" w:hAnsi="仿宋" w:cs="仿宋" w:hint="eastAsia"/>
          <w:b/>
          <w:sz w:val="28"/>
          <w:szCs w:val="28"/>
        </w:rPr>
        <w:t>裁判理由：</w:t>
      </w:r>
    </w:p>
    <w:p w:rsidR="004F78FA" w:rsidRPr="004F78FA" w:rsidRDefault="004F78FA" w:rsidP="004F78FA">
      <w:pPr>
        <w:spacing w:line="480" w:lineRule="exact"/>
        <w:ind w:firstLine="560"/>
        <w:rPr>
          <w:rFonts w:ascii="仿宋" w:eastAsia="仿宋" w:hAnsi="仿宋" w:cs="仿宋"/>
          <w:sz w:val="28"/>
          <w:szCs w:val="28"/>
        </w:rPr>
      </w:pPr>
      <w:r w:rsidRPr="004F78FA">
        <w:rPr>
          <w:rFonts w:ascii="仿宋" w:eastAsia="仿宋" w:hAnsi="仿宋" w:cs="仿宋" w:hint="eastAsia"/>
          <w:sz w:val="28"/>
          <w:szCs w:val="28"/>
        </w:rPr>
        <w:t>法院认为，著作权许可使用范围要结合双方合意、一般公众认知、合同订立过程及签订目的等因素综合判定。参考适用法律解释方法中的文义解释、逻辑解释、系统解释、目的解释和历史解释。原</w:t>
      </w:r>
      <w:r w:rsidR="00D501F3">
        <w:rPr>
          <w:rFonts w:ascii="仿宋" w:eastAsia="仿宋" w:hAnsi="仿宋" w:cs="仿宋" w:hint="eastAsia"/>
          <w:sz w:val="28"/>
          <w:szCs w:val="28"/>
        </w:rPr>
        <w:t>、</w:t>
      </w:r>
      <w:r w:rsidRPr="004F78FA">
        <w:rPr>
          <w:rFonts w:ascii="仿宋" w:eastAsia="仿宋" w:hAnsi="仿宋" w:cs="仿宋" w:hint="eastAsia"/>
          <w:sz w:val="28"/>
          <w:szCs w:val="28"/>
        </w:rPr>
        <w:t>被告对于刘旦宅先生曾与南京卷烟厂就</w:t>
      </w:r>
      <w:r w:rsidR="00503F47">
        <w:rPr>
          <w:rFonts w:ascii="仿宋" w:eastAsia="仿宋" w:hAnsi="仿宋" w:cs="仿宋" w:hint="eastAsia"/>
          <w:sz w:val="28"/>
          <w:szCs w:val="28"/>
        </w:rPr>
        <w:t>涉案</w:t>
      </w:r>
      <w:r w:rsidRPr="004F78FA">
        <w:rPr>
          <w:rFonts w:ascii="仿宋" w:eastAsia="仿宋" w:hAnsi="仿宋" w:cs="仿宋" w:hint="eastAsia"/>
          <w:sz w:val="28"/>
          <w:szCs w:val="28"/>
        </w:rPr>
        <w:t>画作有过许可使用合意并无异议，但就许可使用范围却各执一词。法院从南京卷烟厂发布的《征稿启示》入手，结合征稿初衷、中标稿件、题诗纷争、双方合意、单个人物画作与各式包装的匹配程度、一般公众对烟标的认知理解、十二钗人物组合时的常见排序等多方面因素进行综合分析，认为刘旦宅先生所表述的“烟标”仅指向烟盒包装，故被告将涉案画作用于一条烟和一箱烟的包装，超出了刘旦宅先生许可使用的范围，构成著作权</w:t>
      </w:r>
      <w:r w:rsidRPr="004F78FA">
        <w:rPr>
          <w:rFonts w:ascii="仿宋" w:eastAsia="仿宋" w:hAnsi="仿宋" w:cs="仿宋" w:hint="eastAsia"/>
          <w:sz w:val="28"/>
          <w:szCs w:val="28"/>
        </w:rPr>
        <w:lastRenderedPageBreak/>
        <w:t>侵权，应停止侵权并赔偿经济损失50万元。</w:t>
      </w:r>
    </w:p>
    <w:p w:rsidR="00FF7D45" w:rsidRDefault="00FF7D45" w:rsidP="004F78FA">
      <w:pPr>
        <w:spacing w:line="480" w:lineRule="exact"/>
        <w:ind w:firstLine="562"/>
        <w:rPr>
          <w:rFonts w:ascii="仿宋" w:eastAsia="仿宋" w:hAnsi="仿宋" w:cs="仿宋"/>
          <w:b/>
          <w:sz w:val="28"/>
          <w:szCs w:val="28"/>
        </w:rPr>
      </w:pPr>
    </w:p>
    <w:p w:rsidR="004F78FA" w:rsidRPr="004F78FA" w:rsidRDefault="004F78FA" w:rsidP="004F78FA">
      <w:pPr>
        <w:spacing w:line="480" w:lineRule="exact"/>
        <w:ind w:firstLine="562"/>
        <w:rPr>
          <w:rFonts w:ascii="仿宋" w:eastAsia="仿宋" w:hAnsi="仿宋" w:cs="仿宋"/>
          <w:b/>
          <w:sz w:val="28"/>
          <w:szCs w:val="28"/>
        </w:rPr>
      </w:pPr>
      <w:r w:rsidRPr="004F78FA">
        <w:rPr>
          <w:rFonts w:ascii="仿宋" w:eastAsia="仿宋" w:hAnsi="仿宋" w:cs="仿宋" w:hint="eastAsia"/>
          <w:b/>
          <w:sz w:val="28"/>
          <w:szCs w:val="28"/>
        </w:rPr>
        <w:t>专家点评：</w:t>
      </w:r>
    </w:p>
    <w:p w:rsidR="004F78FA" w:rsidRPr="004F78FA" w:rsidRDefault="004F78FA" w:rsidP="004F78FA">
      <w:pPr>
        <w:spacing w:line="480" w:lineRule="exact"/>
        <w:ind w:firstLine="560"/>
        <w:rPr>
          <w:rFonts w:ascii="仿宋" w:eastAsia="仿宋" w:hAnsi="仿宋" w:cs="仿宋"/>
          <w:sz w:val="28"/>
          <w:szCs w:val="28"/>
        </w:rPr>
      </w:pPr>
      <w:r w:rsidRPr="004F78FA">
        <w:rPr>
          <w:rFonts w:ascii="仿宋" w:eastAsia="仿宋" w:hAnsi="仿宋" w:cs="仿宋" w:hint="eastAsia"/>
          <w:sz w:val="28"/>
          <w:szCs w:val="28"/>
        </w:rPr>
        <w:t>由于知识产权意识不够、历史遗留问题等多方面原因，造成一些知识产权诉讼经常要回到历史深处，探求当时各方真意。本案看似一桩著作权许可引发的侵权诉讼，但拨开历史的迷雾，可以发现本案之前还有“旧案”——在20世纪80年代有人剽窃了刘旦宅先生的“金陵十二钗”画作（其中一幅为《凤姐设局》），提供给南京卷烟厂作为烟标，事后经过一番波折，南京卷烟厂在1988年与刘旦宅先生达成和解，但双方当时未就画作在烟草制品上的使用范围作出明确的约定，导致现在“旧案”复燃、“旧伤”复发，不仅令人感叹，也对今日方兴正艾的文化创意产业敲响了警钟。</w:t>
      </w:r>
    </w:p>
    <w:p w:rsidR="004F78FA" w:rsidRPr="004F78FA" w:rsidRDefault="004F78FA" w:rsidP="004F78FA">
      <w:pPr>
        <w:spacing w:line="480" w:lineRule="exact"/>
        <w:ind w:firstLine="560"/>
        <w:rPr>
          <w:rFonts w:ascii="仿宋" w:eastAsia="仿宋" w:hAnsi="仿宋" w:cs="仿宋"/>
          <w:sz w:val="28"/>
          <w:szCs w:val="28"/>
        </w:rPr>
      </w:pPr>
      <w:r w:rsidRPr="004F78FA">
        <w:rPr>
          <w:rFonts w:ascii="仿宋" w:eastAsia="仿宋" w:hAnsi="仿宋" w:cs="仿宋" w:hint="eastAsia"/>
          <w:sz w:val="28"/>
          <w:szCs w:val="28"/>
        </w:rPr>
        <w:t>当前，文化创意产业已经成为引领经济发展的新亮点，成为驱动转型发展的新引擎。创意设计与产业发展相结合，以独特的品牌、品质和品位，彰显产品的差异化，赋予产品以附加值。文化创意企业在发展壮大的过程中，不仅需要提升原创的设计能力，也需要引进外部的设计成果，这其中必然牵涉到著作权等知识产权的风险管理及许可交易。本案表明，企业在生产经营中要注意和加强知识产权的合规管理，包括在产品设计环节注意排查知识产权权属风险和侵权风险，在许可交易过程中注意签署严密的知识产权合同，防止类似的风险再次发生，甚至演化为一个持久的历史遗留问题。</w:t>
      </w:r>
    </w:p>
    <w:p w:rsidR="004F78FA" w:rsidRPr="004F78FA" w:rsidRDefault="004F78FA" w:rsidP="004F78FA">
      <w:pPr>
        <w:spacing w:line="480" w:lineRule="exact"/>
        <w:ind w:firstLine="560"/>
        <w:rPr>
          <w:rFonts w:ascii="仿宋" w:eastAsia="仿宋" w:hAnsi="仿宋" w:cs="仿宋"/>
          <w:sz w:val="28"/>
          <w:szCs w:val="28"/>
        </w:rPr>
      </w:pPr>
      <w:r w:rsidRPr="004F78FA">
        <w:rPr>
          <w:rFonts w:ascii="仿宋" w:eastAsia="仿宋" w:hAnsi="仿宋" w:cs="仿宋" w:hint="eastAsia"/>
          <w:sz w:val="28"/>
          <w:szCs w:val="28"/>
        </w:rPr>
        <w:t>（点评人：袁真富，副教授、博士，上海大学知识产权学院副院长）</w:t>
      </w:r>
    </w:p>
    <w:p w:rsidR="004F78FA" w:rsidRDefault="004F78FA" w:rsidP="004F78FA">
      <w:pPr>
        <w:snapToGrid w:val="0"/>
        <w:spacing w:line="480" w:lineRule="exact"/>
        <w:ind w:firstLine="560"/>
        <w:rPr>
          <w:rFonts w:hAnsi="宋体"/>
          <w:sz w:val="28"/>
          <w:szCs w:val="28"/>
        </w:rPr>
      </w:pPr>
    </w:p>
    <w:p w:rsidR="00FF7D45" w:rsidRPr="004F78FA" w:rsidRDefault="00FF7D45" w:rsidP="004F78FA">
      <w:pPr>
        <w:snapToGrid w:val="0"/>
        <w:spacing w:line="480" w:lineRule="exact"/>
        <w:ind w:firstLine="560"/>
        <w:rPr>
          <w:rFonts w:hAnsi="宋体"/>
          <w:sz w:val="28"/>
          <w:szCs w:val="28"/>
        </w:rPr>
      </w:pPr>
    </w:p>
    <w:p w:rsidR="004F78FA" w:rsidRPr="004F78FA" w:rsidRDefault="004F78FA">
      <w:pPr>
        <w:widowControl/>
        <w:spacing w:line="240" w:lineRule="auto"/>
        <w:ind w:firstLineChars="0" w:firstLine="0"/>
        <w:jc w:val="left"/>
      </w:pPr>
      <w:r w:rsidRPr="004F78FA">
        <w:br w:type="page"/>
      </w:r>
    </w:p>
    <w:p w:rsidR="004F78FA" w:rsidRPr="004F78FA" w:rsidRDefault="004F78FA" w:rsidP="004F78FA">
      <w:pPr>
        <w:spacing w:line="480" w:lineRule="exact"/>
        <w:ind w:firstLine="562"/>
        <w:jc w:val="center"/>
        <w:rPr>
          <w:rFonts w:ascii="仿宋" w:eastAsia="仿宋" w:hAnsi="仿宋" w:cs="仿宋"/>
          <w:b/>
          <w:sz w:val="28"/>
          <w:szCs w:val="28"/>
        </w:rPr>
      </w:pPr>
      <w:r w:rsidRPr="004F78FA">
        <w:rPr>
          <w:rFonts w:ascii="仿宋" w:eastAsia="仿宋" w:hAnsi="仿宋" w:cs="仿宋" w:hint="eastAsia"/>
          <w:b/>
          <w:sz w:val="28"/>
          <w:szCs w:val="28"/>
        </w:rPr>
        <w:lastRenderedPageBreak/>
        <w:t>超出指示性使用的合理范围构成商标侵权</w:t>
      </w:r>
    </w:p>
    <w:p w:rsidR="004F78FA" w:rsidRPr="004F78FA" w:rsidRDefault="004F78FA" w:rsidP="004F78FA">
      <w:pPr>
        <w:spacing w:line="480" w:lineRule="exact"/>
        <w:ind w:firstLine="560"/>
        <w:jc w:val="center"/>
        <w:rPr>
          <w:rFonts w:ascii="仿宋" w:eastAsia="仿宋" w:hAnsi="仿宋" w:cs="仿宋"/>
          <w:sz w:val="28"/>
          <w:szCs w:val="28"/>
        </w:rPr>
      </w:pPr>
      <w:r w:rsidRPr="004F78FA">
        <w:rPr>
          <w:rFonts w:ascii="仿宋" w:eastAsia="仿宋" w:hAnsi="仿宋" w:cs="仿宋" w:hint="eastAsia"/>
          <w:sz w:val="28"/>
          <w:szCs w:val="28"/>
        </w:rPr>
        <w:t>——“乐高”商标侵权及不正当竞争纠纷案</w:t>
      </w:r>
    </w:p>
    <w:p w:rsidR="00FF7D45" w:rsidRDefault="00FF7D45" w:rsidP="004F78FA">
      <w:pPr>
        <w:adjustRightInd w:val="0"/>
        <w:snapToGrid w:val="0"/>
        <w:spacing w:line="480" w:lineRule="exact"/>
        <w:ind w:firstLine="562"/>
        <w:jc w:val="left"/>
        <w:rPr>
          <w:rFonts w:ascii="仿宋" w:eastAsia="仿宋" w:hAnsi="仿宋" w:cs="仿宋"/>
          <w:b/>
          <w:sz w:val="28"/>
          <w:szCs w:val="28"/>
        </w:rPr>
      </w:pPr>
    </w:p>
    <w:p w:rsidR="004F78FA" w:rsidRPr="004F78FA" w:rsidRDefault="004F78FA" w:rsidP="004F78FA">
      <w:pPr>
        <w:adjustRightInd w:val="0"/>
        <w:snapToGrid w:val="0"/>
        <w:spacing w:line="480" w:lineRule="exact"/>
        <w:ind w:firstLine="562"/>
        <w:jc w:val="left"/>
        <w:rPr>
          <w:rFonts w:ascii="仿宋" w:eastAsia="仿宋" w:hAnsi="仿宋" w:cs="仿宋"/>
          <w:b/>
          <w:sz w:val="28"/>
          <w:szCs w:val="28"/>
        </w:rPr>
      </w:pPr>
      <w:r w:rsidRPr="004F78FA">
        <w:rPr>
          <w:rFonts w:ascii="仿宋" w:eastAsia="仿宋" w:hAnsi="仿宋" w:cs="仿宋" w:hint="eastAsia"/>
          <w:b/>
          <w:sz w:val="28"/>
          <w:szCs w:val="28"/>
        </w:rPr>
        <w:t>案情简介：</w:t>
      </w:r>
    </w:p>
    <w:p w:rsidR="004F78FA" w:rsidRPr="004F78FA" w:rsidRDefault="004F78FA" w:rsidP="004F78FA">
      <w:pPr>
        <w:spacing w:line="480" w:lineRule="exact"/>
        <w:ind w:right="28" w:firstLine="560"/>
        <w:rPr>
          <w:rFonts w:ascii="仿宋" w:eastAsia="仿宋" w:hAnsi="仿宋" w:cs="仿宋"/>
          <w:sz w:val="28"/>
          <w:szCs w:val="28"/>
        </w:rPr>
      </w:pPr>
      <w:r w:rsidRPr="004F78FA">
        <w:rPr>
          <w:rFonts w:ascii="仿宋" w:eastAsia="仿宋" w:hAnsi="仿宋" w:cs="仿宋" w:hint="eastAsia"/>
          <w:sz w:val="28"/>
          <w:szCs w:val="28"/>
        </w:rPr>
        <w:t>乐高集团是源于丹麦的全球知名玩具公司，仅在上海一地就有十几家经合法授权的乐高活动中心。原告系乐高集团旗下的公司，在第41类的“教育、培训等”服务上拥有 “LEGO”、“乐高”等注册商标，同时也是lego.com和lego.com.cn域名的所有者。原告发现被告开设两家“乐高活动中心”，并在两中心的经营活动和对外宣传中使用乐高系列商标。被告运营www.legosh.com作为其提供服务的官方网站，除在域名名称中直接使用“lego上海（sh）”外，还在网站的页面设计、宣传、文章中大量使用涉案乐高商标。除此以外，被告还在宣传中自称其为原告授权的“乐高活动中心”，采用乐高教育独特的装饰装修风格和教学材料。原告认为被告的行为构成商标侵权及虚假宣传，主张“乐高活动中心”构成知名产品特有名称，故诉请要求被告立即停止侵权，注销相关域名并赔偿损失。被告则认为，其已获得第三方授权可以销售乐高品牌玩具，由于乐高玩具属益智类玩具，其设立的乐高活动中心，实为提供产品售后配套指导服务，其对乐高商标的使用未超出授权范围，因此不存在商标侵权和虚假宣传的行为。</w:t>
      </w:r>
    </w:p>
    <w:p w:rsidR="00FF7D45" w:rsidRDefault="00FF7D45" w:rsidP="004F78FA">
      <w:pPr>
        <w:spacing w:line="480" w:lineRule="exact"/>
        <w:ind w:firstLine="562"/>
        <w:rPr>
          <w:rFonts w:ascii="仿宋" w:eastAsia="仿宋" w:hAnsi="仿宋" w:cs="仿宋"/>
          <w:b/>
          <w:sz w:val="28"/>
          <w:szCs w:val="28"/>
        </w:rPr>
      </w:pPr>
    </w:p>
    <w:p w:rsidR="004F78FA" w:rsidRPr="004F78FA" w:rsidRDefault="004F78FA" w:rsidP="004F78FA">
      <w:pPr>
        <w:spacing w:line="480" w:lineRule="exact"/>
        <w:ind w:firstLine="562"/>
        <w:rPr>
          <w:rFonts w:ascii="仿宋" w:eastAsia="仿宋" w:hAnsi="仿宋" w:cs="仿宋"/>
          <w:b/>
          <w:sz w:val="28"/>
          <w:szCs w:val="28"/>
        </w:rPr>
      </w:pPr>
      <w:r w:rsidRPr="004F78FA">
        <w:rPr>
          <w:rFonts w:ascii="仿宋" w:eastAsia="仿宋" w:hAnsi="仿宋" w:cs="仿宋" w:hint="eastAsia"/>
          <w:b/>
          <w:sz w:val="28"/>
          <w:szCs w:val="28"/>
        </w:rPr>
        <w:t>裁判理由：</w:t>
      </w:r>
    </w:p>
    <w:p w:rsidR="004F78FA" w:rsidRPr="004F78FA" w:rsidRDefault="004F78FA" w:rsidP="004F78FA">
      <w:pPr>
        <w:spacing w:line="520" w:lineRule="exact"/>
        <w:ind w:right="26" w:firstLine="560"/>
        <w:rPr>
          <w:rFonts w:ascii="仿宋" w:eastAsia="仿宋" w:hAnsi="仿宋" w:cs="仿宋"/>
          <w:sz w:val="28"/>
          <w:szCs w:val="28"/>
        </w:rPr>
      </w:pPr>
      <w:r w:rsidRPr="004F78FA">
        <w:rPr>
          <w:rFonts w:ascii="仿宋" w:eastAsia="仿宋" w:hAnsi="仿宋" w:cs="仿宋" w:hint="eastAsia"/>
          <w:sz w:val="28"/>
          <w:szCs w:val="28"/>
        </w:rPr>
        <w:t>法院认为，商标指示性使用的边界判定需要考虑使用者的使用意图、使用方式、使用结果等多重因素。超出商标指示性使用的合理范围构成商标侵权。判断被告所获授权范围与实际行为的边界是本案审理的重点。本案中，被告不仅在店铺招牌等处使用乐高标识，还在员工服饰、宣传册、网站等处使用了与原告商标相同的标识，显然超出了指示所销售商品必需使用的范围。综合判断被告的使用意图和使用方式，其行为超越了商标指示性使用的保护边界。且被告在使用上述</w:t>
      </w:r>
      <w:r w:rsidRPr="004F78FA">
        <w:rPr>
          <w:rFonts w:ascii="仿宋" w:eastAsia="仿宋" w:hAnsi="仿宋" w:cs="仿宋" w:hint="eastAsia"/>
          <w:sz w:val="28"/>
          <w:szCs w:val="28"/>
        </w:rPr>
        <w:lastRenderedPageBreak/>
        <w:t>标识时，并未附加其他标识来区分服务来源，足以造成公众混淆。由此认定被告在店铺装修、官方网站等处的乐高标识使用行为均构成商标侵权，并认定备案主体为被告的涉案域名构成对原告“LEGO”商标的侵权。同时被告的域名与原告域名主体部分“lego”相似，足以引人误认，亦构成不正当竞争。被告在与原告并无授权关系的情况下，在宣传中试图建立与原告之间的关联关系，从而获得相关竞争优势的行为，构成虚假宣传。对原告要求认定“乐高活动中心”构成知名产品特有名称的诉请，因基于同一侵权事实，原告不能享有实体法上的两个独立请求权，且原告在本案中以商标侵权为由提起诉讼，所以在法律适用上应采用专门法即商标法予以保护，故驳回该诉请。综上，</w:t>
      </w:r>
      <w:r w:rsidR="00A9111F">
        <w:rPr>
          <w:rFonts w:ascii="仿宋" w:eastAsia="仿宋" w:hAnsi="仿宋" w:cs="仿宋" w:hint="eastAsia"/>
          <w:sz w:val="28"/>
          <w:szCs w:val="28"/>
        </w:rPr>
        <w:t>法院判令</w:t>
      </w:r>
      <w:r w:rsidRPr="004F78FA">
        <w:rPr>
          <w:rFonts w:ascii="仿宋" w:eastAsia="仿宋" w:hAnsi="仿宋" w:cs="仿宋" w:hint="eastAsia"/>
          <w:sz w:val="28"/>
          <w:szCs w:val="28"/>
        </w:rPr>
        <w:t>被告立即停止侵权行为，立即注销</w:t>
      </w:r>
      <w:hyperlink r:id="rId7" w:history="1">
        <w:r w:rsidRPr="004F78FA">
          <w:rPr>
            <w:rFonts w:ascii="仿宋" w:eastAsia="仿宋" w:hAnsi="仿宋" w:cs="仿宋" w:hint="eastAsia"/>
            <w:sz w:val="28"/>
            <w:szCs w:val="28"/>
          </w:rPr>
          <w:t>www.legosh.com</w:t>
        </w:r>
      </w:hyperlink>
      <w:r w:rsidRPr="004F78FA">
        <w:rPr>
          <w:rFonts w:ascii="仿宋" w:eastAsia="仿宋" w:hAnsi="仿宋" w:cs="仿宋" w:hint="eastAsia"/>
          <w:sz w:val="28"/>
          <w:szCs w:val="28"/>
        </w:rPr>
        <w:t>域名，赔偿原告经济损失及合理支出合计50万元。</w:t>
      </w:r>
    </w:p>
    <w:p w:rsidR="00FF7D45" w:rsidRDefault="00FF7D45" w:rsidP="004F78FA">
      <w:pPr>
        <w:spacing w:line="480" w:lineRule="exact"/>
        <w:ind w:firstLine="562"/>
        <w:rPr>
          <w:rFonts w:ascii="仿宋" w:eastAsia="仿宋" w:hAnsi="仿宋" w:cs="宋体"/>
          <w:b/>
          <w:sz w:val="28"/>
          <w:szCs w:val="28"/>
        </w:rPr>
      </w:pPr>
    </w:p>
    <w:p w:rsidR="004F78FA" w:rsidRPr="004F78FA" w:rsidRDefault="004F78FA" w:rsidP="004F78FA">
      <w:pPr>
        <w:spacing w:line="480" w:lineRule="exact"/>
        <w:ind w:firstLine="562"/>
        <w:rPr>
          <w:rFonts w:hAnsi="宋体" w:cs="宋体"/>
          <w:sz w:val="28"/>
          <w:szCs w:val="28"/>
        </w:rPr>
      </w:pPr>
      <w:r w:rsidRPr="004F78FA">
        <w:rPr>
          <w:rFonts w:ascii="仿宋" w:eastAsia="仿宋" w:hAnsi="仿宋" w:cs="宋体" w:hint="eastAsia"/>
          <w:b/>
          <w:sz w:val="28"/>
          <w:szCs w:val="28"/>
        </w:rPr>
        <w:t>专家点评：</w:t>
      </w:r>
    </w:p>
    <w:p w:rsidR="004F78FA" w:rsidRPr="004F78FA" w:rsidRDefault="004F78FA" w:rsidP="004F78FA">
      <w:pPr>
        <w:spacing w:line="480" w:lineRule="exact"/>
        <w:ind w:firstLine="560"/>
        <w:rPr>
          <w:rFonts w:ascii="仿宋" w:eastAsia="仿宋" w:hAnsi="仿宋" w:cs="仿宋"/>
          <w:sz w:val="28"/>
          <w:szCs w:val="28"/>
        </w:rPr>
      </w:pPr>
      <w:r w:rsidRPr="004F78FA">
        <w:rPr>
          <w:rFonts w:ascii="仿宋" w:eastAsia="仿宋" w:hAnsi="仿宋" w:cs="仿宋" w:hint="eastAsia"/>
          <w:sz w:val="28"/>
          <w:szCs w:val="28"/>
        </w:rPr>
        <w:t>本案案情虽不很复杂，但涉及法律问题却较繁复，一审判决因之提纲挈领，条分缕析，作出了对号入座，恰如其分的裁判。一审判决书列明了本案争议的四大焦点，其中尤其三方面的裁判可圈可点。一是对所称</w:t>
      </w:r>
      <w:bookmarkStart w:id="0" w:name="_Hlk36911791"/>
      <w:r w:rsidRPr="004F78FA">
        <w:rPr>
          <w:rFonts w:ascii="仿宋" w:eastAsia="仿宋" w:hAnsi="仿宋" w:cs="仿宋" w:hint="eastAsia"/>
          <w:sz w:val="28"/>
          <w:szCs w:val="28"/>
        </w:rPr>
        <w:t>“指示性使用”</w:t>
      </w:r>
      <w:bookmarkEnd w:id="0"/>
      <w:r w:rsidRPr="004F78FA">
        <w:rPr>
          <w:rFonts w:ascii="仿宋" w:eastAsia="仿宋" w:hAnsi="仿宋" w:cs="仿宋" w:hint="eastAsia"/>
          <w:sz w:val="28"/>
          <w:szCs w:val="28"/>
        </w:rPr>
        <w:t>范围的依法界分，即童汇公司获得</w:t>
      </w:r>
      <w:bookmarkStart w:id="1" w:name="_Hlk36898940"/>
      <w:r w:rsidRPr="004F78FA">
        <w:rPr>
          <w:rFonts w:ascii="仿宋" w:eastAsia="仿宋" w:hAnsi="仿宋" w:cs="仿宋" w:hint="eastAsia"/>
          <w:sz w:val="28"/>
          <w:szCs w:val="28"/>
        </w:rPr>
        <w:t>乐高品牌</w:t>
      </w:r>
      <w:bookmarkEnd w:id="1"/>
      <w:r w:rsidRPr="004F78FA">
        <w:rPr>
          <w:rFonts w:ascii="仿宋" w:eastAsia="仿宋" w:hAnsi="仿宋" w:cs="仿宋" w:hint="eastAsia"/>
          <w:sz w:val="28"/>
          <w:szCs w:val="28"/>
        </w:rPr>
        <w:t>产品销售及售后服务的普通再授权之合理使用范围的界定。</w:t>
      </w:r>
      <w:bookmarkStart w:id="2" w:name="_Hlk36898885"/>
      <w:r w:rsidRPr="004F78FA">
        <w:rPr>
          <w:rFonts w:ascii="仿宋" w:eastAsia="仿宋" w:hAnsi="仿宋" w:cs="仿宋" w:hint="eastAsia"/>
          <w:sz w:val="28"/>
          <w:szCs w:val="28"/>
        </w:rPr>
        <w:t>童汇公司</w:t>
      </w:r>
      <w:bookmarkEnd w:id="2"/>
      <w:r w:rsidRPr="004F78FA">
        <w:rPr>
          <w:rFonts w:ascii="仿宋" w:eastAsia="仿宋" w:hAnsi="仿宋" w:cs="仿宋" w:hint="eastAsia"/>
          <w:sz w:val="28"/>
          <w:szCs w:val="28"/>
        </w:rPr>
        <w:t>在店招、员工服饰、宣传册、网站等处滥用</w:t>
      </w:r>
      <w:bookmarkStart w:id="3" w:name="_Hlk36899050"/>
      <w:r w:rsidRPr="004F78FA">
        <w:rPr>
          <w:rFonts w:ascii="仿宋" w:eastAsia="仿宋" w:hAnsi="仿宋" w:cs="仿宋" w:hint="eastAsia"/>
          <w:sz w:val="28"/>
          <w:szCs w:val="28"/>
        </w:rPr>
        <w:t>乐高</w:t>
      </w:r>
      <w:bookmarkEnd w:id="3"/>
      <w:r w:rsidRPr="004F78FA">
        <w:rPr>
          <w:rFonts w:ascii="仿宋" w:eastAsia="仿宋" w:hAnsi="仿宋" w:cs="仿宋" w:hint="eastAsia"/>
          <w:sz w:val="28"/>
          <w:szCs w:val="28"/>
        </w:rPr>
        <w:t>公司商标标识，又未附加区别商业标识，该乐高商标使用行为已超普通销售再授权之“指示性使用”界限，看来童汇公司想藉以误导消费者认</w:t>
      </w:r>
      <w:r w:rsidR="00503F47">
        <w:rPr>
          <w:rFonts w:ascii="仿宋" w:eastAsia="仿宋" w:hAnsi="仿宋" w:cs="仿宋" w:hint="eastAsia"/>
          <w:sz w:val="28"/>
          <w:szCs w:val="28"/>
        </w:rPr>
        <w:t>为</w:t>
      </w:r>
      <w:r w:rsidRPr="004F78FA">
        <w:rPr>
          <w:rFonts w:ascii="仿宋" w:eastAsia="仿宋" w:hAnsi="仿宋" w:cs="仿宋" w:hint="eastAsia"/>
          <w:sz w:val="28"/>
          <w:szCs w:val="28"/>
        </w:rPr>
        <w:t>其为乐高品牌专卖店或直销商。一审判决遂依法认定童汇公司超“指示性使用”的使用行为构成商标侵权。二是对所称“域名侵权”行为的依法认定。根据</w:t>
      </w:r>
      <w:bookmarkStart w:id="4" w:name="_Hlk36900244"/>
      <w:r w:rsidRPr="004F78FA">
        <w:rPr>
          <w:rFonts w:ascii="仿宋" w:eastAsia="仿宋" w:hAnsi="仿宋" w:cs="仿宋" w:hint="eastAsia"/>
          <w:sz w:val="28"/>
          <w:szCs w:val="28"/>
        </w:rPr>
        <w:t>乐高公司相应的注册商标权</w:t>
      </w:r>
      <w:bookmarkEnd w:id="4"/>
      <w:r w:rsidRPr="004F78FA">
        <w:rPr>
          <w:rFonts w:ascii="仿宋" w:eastAsia="仿宋" w:hAnsi="仿宋" w:cs="仿宋" w:hint="eastAsia"/>
          <w:sz w:val="28"/>
          <w:szCs w:val="28"/>
        </w:rPr>
        <w:t>合法有效、而“童汇公司域名构成对乐高注册商标相同或近似并足以造成误认、童汇公司对该域名或其主要部分不享有权益、该域名注册与使用具有恶意”等四大要件的分析认定，一审判决认定童汇公司注册与使用相关域名的行为侵犯了乐高</w:t>
      </w:r>
      <w:r w:rsidRPr="004F78FA">
        <w:rPr>
          <w:rFonts w:ascii="仿宋" w:eastAsia="仿宋" w:hAnsi="仿宋" w:cs="仿宋" w:hint="eastAsia"/>
          <w:sz w:val="28"/>
          <w:szCs w:val="28"/>
        </w:rPr>
        <w:lastRenderedPageBreak/>
        <w:t>公司相应的注册商标权。三是依法不认定</w:t>
      </w:r>
      <w:bookmarkStart w:id="5" w:name="_Hlk36912055"/>
      <w:r w:rsidRPr="004F78FA">
        <w:rPr>
          <w:rFonts w:ascii="仿宋" w:eastAsia="仿宋" w:hAnsi="仿宋" w:cs="仿宋" w:hint="eastAsia"/>
          <w:sz w:val="28"/>
          <w:szCs w:val="28"/>
        </w:rPr>
        <w:t>“乐高活动中心”</w:t>
      </w:r>
      <w:bookmarkEnd w:id="5"/>
      <w:r w:rsidRPr="004F78FA">
        <w:rPr>
          <w:rFonts w:ascii="仿宋" w:eastAsia="仿宋" w:hAnsi="仿宋" w:cs="仿宋" w:hint="eastAsia"/>
          <w:sz w:val="28"/>
          <w:szCs w:val="28"/>
        </w:rPr>
        <w:t>为</w:t>
      </w:r>
      <w:bookmarkStart w:id="6" w:name="_Hlk36900802"/>
      <w:r w:rsidRPr="004F78FA">
        <w:rPr>
          <w:rFonts w:ascii="仿宋" w:eastAsia="仿宋" w:hAnsi="仿宋" w:cs="仿宋" w:hint="eastAsia"/>
          <w:sz w:val="28"/>
          <w:szCs w:val="28"/>
        </w:rPr>
        <w:t>知名产品</w:t>
      </w:r>
      <w:bookmarkStart w:id="7" w:name="_Hlk36901149"/>
      <w:r w:rsidRPr="004F78FA">
        <w:rPr>
          <w:rFonts w:ascii="仿宋" w:eastAsia="仿宋" w:hAnsi="仿宋" w:cs="仿宋" w:hint="eastAsia"/>
          <w:sz w:val="28"/>
          <w:szCs w:val="28"/>
        </w:rPr>
        <w:t>特有名称</w:t>
      </w:r>
      <w:bookmarkEnd w:id="6"/>
      <w:bookmarkEnd w:id="7"/>
      <w:r w:rsidRPr="004F78FA">
        <w:rPr>
          <w:rFonts w:ascii="仿宋" w:eastAsia="仿宋" w:hAnsi="仿宋" w:cs="仿宋" w:hint="eastAsia"/>
          <w:sz w:val="28"/>
          <w:szCs w:val="28"/>
        </w:rPr>
        <w:t>。原告的乐高品牌已在华获准了相关领域的注册商标，还要不要保护带乐高标识的“知名产品特有名称”？其实商标法保护的是注册商标权这一已经类型化的知识产权民事权利，而反不正当竞争法是旨在维护市场公</w:t>
      </w:r>
      <w:r w:rsidR="00503F47">
        <w:rPr>
          <w:rFonts w:ascii="仿宋" w:eastAsia="仿宋" w:hAnsi="仿宋" w:cs="仿宋" w:hint="eastAsia"/>
          <w:sz w:val="28"/>
          <w:szCs w:val="28"/>
        </w:rPr>
        <w:t>共</w:t>
      </w:r>
      <w:r w:rsidRPr="004F78FA">
        <w:rPr>
          <w:rFonts w:ascii="仿宋" w:eastAsia="仿宋" w:hAnsi="仿宋" w:cs="仿宋" w:hint="eastAsia"/>
          <w:sz w:val="28"/>
          <w:szCs w:val="28"/>
        </w:rPr>
        <w:t>秩序的构架下，通过制裁那些侵害未注册之知名商业标识权益的行为给予补充保护。一审判决遂认为“在法律适用上应当采用专门法的商标法予以保护，而非适用反不正当竞争法”，进而驳回了乐高公司关于认定“乐高活动中心”为“知名商品特有名称”的诉讼请求。“乐高品牌典型案，庖丁解牛精华判。疑难问题勇克坚，</w:t>
      </w:r>
      <w:r w:rsidR="00B41349">
        <w:rPr>
          <w:rFonts w:ascii="仿宋" w:eastAsia="仿宋" w:hAnsi="仿宋" w:cs="仿宋" w:hint="eastAsia"/>
          <w:sz w:val="28"/>
          <w:szCs w:val="28"/>
        </w:rPr>
        <w:t>依</w:t>
      </w:r>
      <w:r w:rsidRPr="004F78FA">
        <w:rPr>
          <w:rFonts w:ascii="仿宋" w:eastAsia="仿宋" w:hAnsi="仿宋" w:cs="仿宋" w:hint="eastAsia"/>
          <w:sz w:val="28"/>
          <w:szCs w:val="28"/>
        </w:rPr>
        <w:t>法析理善分辨。”</w:t>
      </w:r>
      <w:bookmarkStart w:id="8" w:name="_GoBack"/>
      <w:bookmarkEnd w:id="8"/>
    </w:p>
    <w:p w:rsidR="004F78FA" w:rsidRPr="00A82EF6" w:rsidRDefault="004F78FA" w:rsidP="004F78FA">
      <w:pPr>
        <w:spacing w:line="480" w:lineRule="exact"/>
        <w:ind w:firstLine="560"/>
        <w:rPr>
          <w:rFonts w:ascii="仿宋" w:eastAsia="仿宋" w:hAnsi="仿宋" w:cs="仿宋"/>
          <w:sz w:val="28"/>
          <w:szCs w:val="28"/>
        </w:rPr>
      </w:pPr>
      <w:r w:rsidRPr="004F78FA">
        <w:rPr>
          <w:rFonts w:ascii="仿宋" w:eastAsia="仿宋" w:hAnsi="仿宋" w:cs="仿宋" w:hint="eastAsia"/>
          <w:sz w:val="28"/>
          <w:szCs w:val="28"/>
        </w:rPr>
        <w:t>（点评人：陶鑫良，教授、博士生导师，上海大学知识产权学院名誉院长）</w:t>
      </w:r>
    </w:p>
    <w:p w:rsidR="004F78FA" w:rsidRDefault="004F78FA">
      <w:pPr>
        <w:widowControl/>
        <w:spacing w:line="240" w:lineRule="auto"/>
        <w:ind w:firstLineChars="0" w:firstLine="0"/>
        <w:jc w:val="left"/>
        <w:rPr>
          <w:rFonts w:hAnsi="宋体" w:cs="宋体"/>
          <w:sz w:val="28"/>
          <w:szCs w:val="28"/>
        </w:rPr>
      </w:pPr>
      <w:r>
        <w:rPr>
          <w:rFonts w:hAnsi="宋体" w:cs="宋体"/>
          <w:sz w:val="28"/>
          <w:szCs w:val="28"/>
        </w:rPr>
        <w:br w:type="page"/>
      </w:r>
    </w:p>
    <w:p w:rsidR="004F78FA" w:rsidRPr="0088546C" w:rsidRDefault="004F78FA" w:rsidP="004F78FA">
      <w:pPr>
        <w:adjustRightInd w:val="0"/>
        <w:snapToGrid w:val="0"/>
        <w:spacing w:line="480" w:lineRule="exact"/>
        <w:ind w:firstLine="562"/>
        <w:jc w:val="center"/>
        <w:rPr>
          <w:rFonts w:ascii="仿宋" w:eastAsia="仿宋" w:hAnsi="仿宋"/>
          <w:b/>
          <w:sz w:val="28"/>
          <w:szCs w:val="28"/>
        </w:rPr>
      </w:pPr>
      <w:r w:rsidRPr="0088546C">
        <w:rPr>
          <w:rFonts w:ascii="仿宋" w:eastAsia="仿宋" w:hAnsi="仿宋" w:hint="eastAsia"/>
          <w:b/>
          <w:sz w:val="28"/>
          <w:szCs w:val="28"/>
        </w:rPr>
        <w:lastRenderedPageBreak/>
        <w:t>提起确认不侵权之诉需以多重条件</w:t>
      </w:r>
      <w:r w:rsidRPr="0088546C">
        <w:rPr>
          <w:rFonts w:ascii="仿宋" w:eastAsia="仿宋" w:hAnsi="仿宋" w:hint="eastAsia"/>
          <w:b/>
          <w:color w:val="000000"/>
          <w:sz w:val="28"/>
          <w:szCs w:val="28"/>
        </w:rPr>
        <w:t>为前提</w:t>
      </w:r>
    </w:p>
    <w:p w:rsidR="004F78FA" w:rsidRPr="0088546C" w:rsidRDefault="004F78FA" w:rsidP="004F78FA">
      <w:pPr>
        <w:adjustRightInd w:val="0"/>
        <w:snapToGrid w:val="0"/>
        <w:spacing w:line="480" w:lineRule="exact"/>
        <w:ind w:firstLine="560"/>
        <w:jc w:val="center"/>
        <w:rPr>
          <w:rFonts w:ascii="仿宋" w:eastAsia="仿宋" w:hAnsi="仿宋" w:cs="宋体"/>
          <w:kern w:val="0"/>
          <w:sz w:val="28"/>
          <w:szCs w:val="28"/>
        </w:rPr>
      </w:pPr>
      <w:r w:rsidRPr="0088546C">
        <w:rPr>
          <w:rFonts w:ascii="仿宋" w:eastAsia="仿宋" w:hAnsi="仿宋" w:cs="宋体" w:hint="eastAsia"/>
          <w:kern w:val="0"/>
          <w:sz w:val="28"/>
          <w:szCs w:val="28"/>
        </w:rPr>
        <w:t>——“驴妈妈”诉伊莎贝拉确认不侵害商标权纠纷案</w:t>
      </w:r>
    </w:p>
    <w:p w:rsidR="00FF7D45" w:rsidRDefault="00FF7D45" w:rsidP="004F78FA">
      <w:pPr>
        <w:adjustRightInd w:val="0"/>
        <w:snapToGrid w:val="0"/>
        <w:spacing w:line="480" w:lineRule="exact"/>
        <w:ind w:firstLine="562"/>
        <w:rPr>
          <w:rFonts w:ascii="仿宋" w:eastAsia="仿宋" w:hAnsi="仿宋"/>
          <w:b/>
          <w:color w:val="000000"/>
          <w:sz w:val="28"/>
          <w:szCs w:val="28"/>
        </w:rPr>
      </w:pPr>
    </w:p>
    <w:p w:rsidR="004F78FA" w:rsidRPr="0088546C" w:rsidRDefault="004F78FA" w:rsidP="004F78FA">
      <w:pPr>
        <w:adjustRightInd w:val="0"/>
        <w:snapToGrid w:val="0"/>
        <w:spacing w:line="480" w:lineRule="exact"/>
        <w:ind w:firstLine="562"/>
        <w:rPr>
          <w:rFonts w:ascii="仿宋" w:eastAsia="仿宋" w:hAnsi="仿宋"/>
          <w:b/>
          <w:color w:val="000000"/>
          <w:sz w:val="28"/>
          <w:szCs w:val="28"/>
        </w:rPr>
      </w:pPr>
      <w:r w:rsidRPr="0088546C">
        <w:rPr>
          <w:rFonts w:ascii="仿宋" w:eastAsia="仿宋" w:hAnsi="仿宋" w:hint="eastAsia"/>
          <w:b/>
          <w:color w:val="000000"/>
          <w:sz w:val="28"/>
          <w:szCs w:val="28"/>
        </w:rPr>
        <w:t>案情简介：</w:t>
      </w:r>
    </w:p>
    <w:p w:rsidR="004F78FA" w:rsidRPr="0088546C" w:rsidRDefault="004F78FA" w:rsidP="004F78FA">
      <w:pPr>
        <w:adjustRightInd w:val="0"/>
        <w:snapToGrid w:val="0"/>
        <w:spacing w:line="480" w:lineRule="exact"/>
        <w:ind w:firstLine="560"/>
        <w:rPr>
          <w:rFonts w:ascii="仿宋" w:eastAsia="仿宋" w:hAnsi="仿宋" w:cs="宋体"/>
          <w:kern w:val="0"/>
          <w:sz w:val="28"/>
          <w:szCs w:val="28"/>
        </w:rPr>
      </w:pPr>
      <w:r w:rsidRPr="0088546C">
        <w:rPr>
          <w:rFonts w:ascii="仿宋" w:eastAsia="仿宋" w:hAnsi="仿宋" w:cs="宋体" w:hint="eastAsia"/>
          <w:kern w:val="0"/>
          <w:sz w:val="28"/>
          <w:szCs w:val="28"/>
        </w:rPr>
        <w:t>原告景域公司成立于</w:t>
      </w:r>
      <w:r w:rsidRPr="0088546C">
        <w:rPr>
          <w:rFonts w:ascii="仿宋" w:eastAsia="仿宋" w:hAnsi="仿宋" w:cs="宋体"/>
          <w:kern w:val="0"/>
          <w:sz w:val="28"/>
          <w:szCs w:val="28"/>
        </w:rPr>
        <w:t>2007</w:t>
      </w:r>
      <w:r w:rsidRPr="0088546C">
        <w:rPr>
          <w:rFonts w:ascii="仿宋" w:eastAsia="仿宋" w:hAnsi="仿宋" w:cs="宋体" w:hint="eastAsia"/>
          <w:kern w:val="0"/>
          <w:sz w:val="28"/>
          <w:szCs w:val="28"/>
        </w:rPr>
        <w:t>年，其经营的旅游服务网站“驴妈妈旅游网”，在业内具有一定知名度。原告于</w:t>
      </w:r>
      <w:r w:rsidRPr="0088546C">
        <w:rPr>
          <w:rFonts w:ascii="仿宋" w:eastAsia="仿宋" w:hAnsi="仿宋" w:cs="宋体"/>
          <w:kern w:val="0"/>
          <w:sz w:val="28"/>
          <w:szCs w:val="28"/>
        </w:rPr>
        <w:t>2010</w:t>
      </w:r>
      <w:r w:rsidRPr="0088546C">
        <w:rPr>
          <w:rFonts w:ascii="仿宋" w:eastAsia="仿宋" w:hAnsi="仿宋" w:cs="宋体" w:hint="eastAsia"/>
          <w:kern w:val="0"/>
          <w:sz w:val="28"/>
          <w:szCs w:val="28"/>
        </w:rPr>
        <w:t>年起自</w:t>
      </w:r>
      <w:r w:rsidR="00B06101">
        <w:rPr>
          <w:rFonts w:ascii="仿宋" w:eastAsia="仿宋" w:hAnsi="仿宋" w:cs="宋体" w:hint="eastAsia"/>
          <w:kern w:val="0"/>
          <w:sz w:val="28"/>
          <w:szCs w:val="28"/>
        </w:rPr>
        <w:t>主</w:t>
      </w:r>
      <w:r w:rsidRPr="0088546C">
        <w:rPr>
          <w:rFonts w:ascii="仿宋" w:eastAsia="仿宋" w:hAnsi="仿宋" w:cs="宋体" w:hint="eastAsia"/>
          <w:kern w:val="0"/>
          <w:sz w:val="28"/>
          <w:szCs w:val="28"/>
        </w:rPr>
        <w:t>开发设计“驴妈妈”手机客户端软件，并取得“驴妈妈”</w:t>
      </w:r>
      <w:r w:rsidRPr="0088546C">
        <w:rPr>
          <w:rFonts w:ascii="仿宋" w:eastAsia="仿宋" w:hAnsi="仿宋" w:cs="宋体"/>
          <w:kern w:val="0"/>
          <w:sz w:val="28"/>
          <w:szCs w:val="28"/>
        </w:rPr>
        <w:t>iPhone</w:t>
      </w:r>
      <w:r w:rsidRPr="0088546C">
        <w:rPr>
          <w:rFonts w:ascii="仿宋" w:eastAsia="仿宋" w:hAnsi="仿宋" w:cs="宋体" w:hint="eastAsia"/>
          <w:kern w:val="0"/>
          <w:sz w:val="28"/>
          <w:szCs w:val="28"/>
        </w:rPr>
        <w:t>客户端软件的著作权。</w:t>
      </w:r>
      <w:smartTag w:uri="urn:schemas-microsoft-com:office:smarttags" w:element="chsdate">
        <w:smartTagPr>
          <w:attr w:name="Year" w:val="2013"/>
          <w:attr w:name="Month" w:val="4"/>
          <w:attr w:name="Day" w:val="7"/>
          <w:attr w:name="IsLunarDate" w:val="False"/>
          <w:attr w:name="IsROCDate" w:val="False"/>
        </w:smartTagPr>
        <w:r w:rsidRPr="0088546C">
          <w:rPr>
            <w:rFonts w:ascii="仿宋" w:eastAsia="仿宋" w:hAnsi="仿宋" w:cs="宋体"/>
            <w:kern w:val="0"/>
            <w:sz w:val="28"/>
            <w:szCs w:val="28"/>
          </w:rPr>
          <w:t>2013</w:t>
        </w:r>
        <w:r w:rsidRPr="0088546C">
          <w:rPr>
            <w:rFonts w:ascii="仿宋" w:eastAsia="仿宋" w:hAnsi="仿宋" w:cs="宋体" w:hint="eastAsia"/>
            <w:kern w:val="0"/>
            <w:sz w:val="28"/>
            <w:szCs w:val="28"/>
          </w:rPr>
          <w:t>年</w:t>
        </w:r>
        <w:r w:rsidRPr="0088546C">
          <w:rPr>
            <w:rFonts w:ascii="仿宋" w:eastAsia="仿宋" w:hAnsi="仿宋" w:cs="宋体"/>
            <w:kern w:val="0"/>
            <w:sz w:val="28"/>
            <w:szCs w:val="28"/>
          </w:rPr>
          <w:t>4</w:t>
        </w:r>
        <w:r w:rsidRPr="0088546C">
          <w:rPr>
            <w:rFonts w:ascii="仿宋" w:eastAsia="仿宋" w:hAnsi="仿宋" w:cs="宋体" w:hint="eastAsia"/>
            <w:kern w:val="0"/>
            <w:sz w:val="28"/>
            <w:szCs w:val="28"/>
          </w:rPr>
          <w:t>月</w:t>
        </w:r>
        <w:r w:rsidRPr="0088546C">
          <w:rPr>
            <w:rFonts w:ascii="仿宋" w:eastAsia="仿宋" w:hAnsi="仿宋" w:cs="宋体"/>
            <w:kern w:val="0"/>
            <w:sz w:val="28"/>
            <w:szCs w:val="28"/>
          </w:rPr>
          <w:t>7</w:t>
        </w:r>
        <w:r w:rsidRPr="0088546C">
          <w:rPr>
            <w:rFonts w:ascii="仿宋" w:eastAsia="仿宋" w:hAnsi="仿宋" w:cs="宋体" w:hint="eastAsia"/>
            <w:kern w:val="0"/>
            <w:sz w:val="28"/>
            <w:szCs w:val="28"/>
          </w:rPr>
          <w:t>日</w:t>
        </w:r>
      </w:smartTag>
      <w:r w:rsidRPr="0088546C">
        <w:rPr>
          <w:rFonts w:ascii="仿宋" w:eastAsia="仿宋" w:hAnsi="仿宋" w:cs="宋体" w:hint="eastAsia"/>
          <w:kern w:val="0"/>
          <w:sz w:val="28"/>
          <w:szCs w:val="28"/>
        </w:rPr>
        <w:t>，原告经核准注册了第</w:t>
      </w:r>
      <w:r w:rsidRPr="0088546C">
        <w:rPr>
          <w:rFonts w:ascii="仿宋" w:eastAsia="仿宋" w:hAnsi="仿宋" w:cs="宋体"/>
          <w:kern w:val="0"/>
          <w:sz w:val="28"/>
          <w:szCs w:val="28"/>
        </w:rPr>
        <w:t>10506137</w:t>
      </w:r>
      <w:r w:rsidRPr="0088546C">
        <w:rPr>
          <w:rFonts w:ascii="仿宋" w:eastAsia="仿宋" w:hAnsi="仿宋" w:cs="宋体" w:hint="eastAsia"/>
          <w:kern w:val="0"/>
          <w:sz w:val="28"/>
          <w:szCs w:val="28"/>
        </w:rPr>
        <w:t>号“</w:t>
      </w:r>
      <w:r>
        <w:rPr>
          <w:rFonts w:ascii="仿宋" w:eastAsia="仿宋" w:hAnsi="仿宋" w:cs="宋体"/>
          <w:noProof/>
          <w:kern w:val="0"/>
          <w:sz w:val="28"/>
          <w:szCs w:val="28"/>
        </w:rPr>
        <w:drawing>
          <wp:inline distT="0" distB="0" distL="0" distR="0">
            <wp:extent cx="619125" cy="2667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619125" cy="266700"/>
                    </a:xfrm>
                    <a:prstGeom prst="rect">
                      <a:avLst/>
                    </a:prstGeom>
                    <a:noFill/>
                    <a:ln w="9525">
                      <a:noFill/>
                      <a:miter lim="800000"/>
                      <a:headEnd/>
                      <a:tailEnd/>
                    </a:ln>
                  </pic:spPr>
                </pic:pic>
              </a:graphicData>
            </a:graphic>
          </wp:inline>
        </w:drawing>
      </w:r>
      <w:r w:rsidRPr="0088546C">
        <w:rPr>
          <w:rFonts w:ascii="仿宋" w:eastAsia="仿宋" w:hAnsi="仿宋" w:cs="宋体" w:hint="eastAsia"/>
          <w:kern w:val="0"/>
          <w:sz w:val="28"/>
          <w:szCs w:val="28"/>
        </w:rPr>
        <w:t>”商标，核准范围在第</w:t>
      </w:r>
      <w:r w:rsidRPr="0088546C">
        <w:rPr>
          <w:rFonts w:ascii="仿宋" w:eastAsia="仿宋" w:hAnsi="仿宋" w:cs="宋体"/>
          <w:kern w:val="0"/>
          <w:sz w:val="28"/>
          <w:szCs w:val="28"/>
        </w:rPr>
        <w:t>42</w:t>
      </w:r>
      <w:r w:rsidRPr="0088546C">
        <w:rPr>
          <w:rFonts w:ascii="仿宋" w:eastAsia="仿宋" w:hAnsi="仿宋" w:cs="宋体" w:hint="eastAsia"/>
          <w:kern w:val="0"/>
          <w:sz w:val="28"/>
          <w:szCs w:val="28"/>
        </w:rPr>
        <w:t>类：计算机软件设计等。</w:t>
      </w:r>
      <w:r w:rsidRPr="0088546C">
        <w:rPr>
          <w:rFonts w:ascii="仿宋" w:eastAsia="仿宋" w:hAnsi="仿宋" w:cs="宋体"/>
          <w:kern w:val="0"/>
          <w:sz w:val="28"/>
          <w:szCs w:val="28"/>
        </w:rPr>
        <w:t>2014</w:t>
      </w:r>
      <w:r w:rsidRPr="0088546C">
        <w:rPr>
          <w:rFonts w:ascii="仿宋" w:eastAsia="仿宋" w:hAnsi="仿宋" w:cs="宋体" w:hint="eastAsia"/>
          <w:kern w:val="0"/>
          <w:sz w:val="28"/>
          <w:szCs w:val="28"/>
        </w:rPr>
        <w:t>年，“驴妈妈”被推荐为上海名牌。</w:t>
      </w:r>
      <w:r w:rsidR="00B06101">
        <w:rPr>
          <w:rFonts w:ascii="仿宋" w:eastAsia="仿宋" w:hAnsi="仿宋" w:cs="宋体" w:hint="eastAsia"/>
          <w:kern w:val="0"/>
          <w:sz w:val="28"/>
          <w:szCs w:val="28"/>
        </w:rPr>
        <w:t>被告</w:t>
      </w:r>
      <w:r w:rsidRPr="0088546C">
        <w:rPr>
          <w:rFonts w:ascii="仿宋" w:eastAsia="仿宋" w:hAnsi="仿宋" w:cs="宋体" w:hint="eastAsia"/>
          <w:kern w:val="0"/>
          <w:sz w:val="28"/>
          <w:szCs w:val="28"/>
        </w:rPr>
        <w:t>伊莎贝拉公司成立于</w:t>
      </w:r>
      <w:r w:rsidRPr="0088546C">
        <w:rPr>
          <w:rFonts w:ascii="仿宋" w:eastAsia="仿宋" w:hAnsi="仿宋" w:cs="宋体"/>
          <w:kern w:val="0"/>
          <w:sz w:val="28"/>
          <w:szCs w:val="28"/>
        </w:rPr>
        <w:t>2009</w:t>
      </w:r>
      <w:r w:rsidRPr="0088546C">
        <w:rPr>
          <w:rFonts w:ascii="仿宋" w:eastAsia="仿宋" w:hAnsi="仿宋" w:cs="宋体" w:hint="eastAsia"/>
          <w:kern w:val="0"/>
          <w:sz w:val="28"/>
          <w:szCs w:val="28"/>
        </w:rPr>
        <w:t>年，主要从事纺织品、服装鞋帽等商品的线下及网上销售，</w:t>
      </w:r>
      <w:smartTag w:uri="urn:schemas-microsoft-com:office:smarttags" w:element="chsdate">
        <w:smartTagPr>
          <w:attr w:name="IsROCDate" w:val="False"/>
          <w:attr w:name="IsLunarDate" w:val="False"/>
          <w:attr w:name="Day" w:val="28"/>
          <w:attr w:name="Month" w:val="12"/>
          <w:attr w:name="Year" w:val="2013"/>
        </w:smartTagPr>
        <w:r w:rsidRPr="0088546C">
          <w:rPr>
            <w:rFonts w:ascii="仿宋" w:eastAsia="仿宋" w:hAnsi="仿宋" w:cs="宋体"/>
            <w:kern w:val="0"/>
            <w:sz w:val="28"/>
            <w:szCs w:val="28"/>
          </w:rPr>
          <w:t xml:space="preserve"> </w:t>
        </w:r>
        <w:smartTag w:uri="urn:schemas-microsoft-com:office:smarttags" w:element="chsdate">
          <w:smartTagPr>
            <w:attr w:name="Year" w:val="2013"/>
            <w:attr w:name="Month" w:val="12"/>
            <w:attr w:name="Day" w:val="28"/>
            <w:attr w:name="IsLunarDate" w:val="False"/>
            <w:attr w:name="IsROCDate" w:val="False"/>
          </w:smartTagPr>
          <w:r w:rsidRPr="0088546C">
            <w:rPr>
              <w:rFonts w:ascii="仿宋" w:eastAsia="仿宋" w:hAnsi="仿宋" w:cs="宋体"/>
              <w:kern w:val="0"/>
              <w:sz w:val="28"/>
              <w:szCs w:val="28"/>
            </w:rPr>
            <w:t>2013</w:t>
          </w:r>
          <w:r w:rsidRPr="0088546C">
            <w:rPr>
              <w:rFonts w:ascii="仿宋" w:eastAsia="仿宋" w:hAnsi="仿宋" w:cs="宋体" w:hint="eastAsia"/>
              <w:kern w:val="0"/>
              <w:sz w:val="28"/>
              <w:szCs w:val="28"/>
            </w:rPr>
            <w:t>年</w:t>
          </w:r>
          <w:r w:rsidRPr="0088546C">
            <w:rPr>
              <w:rFonts w:ascii="仿宋" w:eastAsia="仿宋" w:hAnsi="仿宋" w:cs="宋体"/>
              <w:kern w:val="0"/>
              <w:sz w:val="28"/>
              <w:szCs w:val="28"/>
            </w:rPr>
            <w:t>12</w:t>
          </w:r>
          <w:r w:rsidRPr="0088546C">
            <w:rPr>
              <w:rFonts w:ascii="仿宋" w:eastAsia="仿宋" w:hAnsi="仿宋" w:cs="宋体" w:hint="eastAsia"/>
              <w:kern w:val="0"/>
              <w:sz w:val="28"/>
              <w:szCs w:val="28"/>
            </w:rPr>
            <w:t>月</w:t>
          </w:r>
          <w:r w:rsidRPr="0088546C">
            <w:rPr>
              <w:rFonts w:ascii="仿宋" w:eastAsia="仿宋" w:hAnsi="仿宋" w:cs="宋体"/>
              <w:kern w:val="0"/>
              <w:sz w:val="28"/>
              <w:szCs w:val="28"/>
            </w:rPr>
            <w:t>28</w:t>
          </w:r>
          <w:r w:rsidRPr="0088546C">
            <w:rPr>
              <w:rFonts w:ascii="仿宋" w:eastAsia="仿宋" w:hAnsi="仿宋" w:cs="宋体" w:hint="eastAsia"/>
              <w:kern w:val="0"/>
              <w:sz w:val="28"/>
              <w:szCs w:val="28"/>
            </w:rPr>
            <w:t>日</w:t>
          </w:r>
        </w:smartTag>
        <w:r w:rsidRPr="0088546C">
          <w:rPr>
            <w:rFonts w:ascii="仿宋" w:eastAsia="仿宋" w:hAnsi="仿宋" w:cs="宋体" w:hint="eastAsia"/>
            <w:kern w:val="0"/>
            <w:sz w:val="28"/>
            <w:szCs w:val="28"/>
          </w:rPr>
          <w:t>，被告经核准注册了</w:t>
        </w:r>
      </w:smartTag>
      <w:r w:rsidRPr="0088546C">
        <w:rPr>
          <w:rFonts w:ascii="仿宋" w:eastAsia="仿宋" w:hAnsi="仿宋" w:cs="宋体" w:hint="eastAsia"/>
          <w:kern w:val="0"/>
          <w:sz w:val="28"/>
          <w:szCs w:val="28"/>
        </w:rPr>
        <w:t>第</w:t>
      </w:r>
      <w:r w:rsidRPr="0088546C">
        <w:rPr>
          <w:rFonts w:ascii="仿宋" w:eastAsia="仿宋" w:hAnsi="仿宋" w:cs="宋体"/>
          <w:kern w:val="0"/>
          <w:sz w:val="28"/>
          <w:szCs w:val="28"/>
        </w:rPr>
        <w:t>11276092</w:t>
      </w:r>
      <w:r w:rsidRPr="0088546C">
        <w:rPr>
          <w:rFonts w:ascii="仿宋" w:eastAsia="仿宋" w:hAnsi="仿宋" w:cs="宋体" w:hint="eastAsia"/>
          <w:kern w:val="0"/>
          <w:sz w:val="28"/>
          <w:szCs w:val="28"/>
        </w:rPr>
        <w:t>号“驴妈妈”商标，核准范围在第</w:t>
      </w:r>
      <w:r w:rsidRPr="0088546C">
        <w:rPr>
          <w:rFonts w:ascii="仿宋" w:eastAsia="仿宋" w:hAnsi="仿宋" w:cs="宋体"/>
          <w:kern w:val="0"/>
          <w:sz w:val="28"/>
          <w:szCs w:val="28"/>
        </w:rPr>
        <w:t>9</w:t>
      </w:r>
      <w:r w:rsidRPr="0088546C">
        <w:rPr>
          <w:rFonts w:ascii="仿宋" w:eastAsia="仿宋" w:hAnsi="仿宋" w:cs="宋体" w:hint="eastAsia"/>
          <w:kern w:val="0"/>
          <w:sz w:val="28"/>
          <w:szCs w:val="28"/>
        </w:rPr>
        <w:t>类：</w:t>
      </w:r>
      <w:r w:rsidR="00533316" w:rsidRPr="0088546C">
        <w:rPr>
          <w:rFonts w:ascii="仿宋" w:eastAsia="仿宋" w:hAnsi="仿宋" w:cs="宋体" w:hint="eastAsia"/>
          <w:kern w:val="0"/>
          <w:sz w:val="28"/>
          <w:szCs w:val="28"/>
        </w:rPr>
        <w:t>电脑软件</w:t>
      </w:r>
      <w:r w:rsidR="00533316">
        <w:rPr>
          <w:rFonts w:ascii="仿宋" w:eastAsia="仿宋" w:hAnsi="仿宋" w:cs="宋体" w:hint="eastAsia"/>
          <w:kern w:val="0"/>
          <w:sz w:val="28"/>
          <w:szCs w:val="28"/>
        </w:rPr>
        <w:t>（</w:t>
      </w:r>
      <w:r w:rsidR="00533316" w:rsidRPr="0088546C">
        <w:rPr>
          <w:rFonts w:ascii="仿宋" w:eastAsia="仿宋" w:hAnsi="仿宋" w:cs="宋体" w:hint="eastAsia"/>
          <w:kern w:val="0"/>
          <w:sz w:val="28"/>
          <w:szCs w:val="28"/>
        </w:rPr>
        <w:t>录制好的</w:t>
      </w:r>
      <w:r w:rsidR="00533316">
        <w:rPr>
          <w:rFonts w:ascii="仿宋" w:eastAsia="仿宋" w:hAnsi="仿宋" w:cs="宋体" w:hint="eastAsia"/>
          <w:kern w:val="0"/>
          <w:sz w:val="28"/>
          <w:szCs w:val="28"/>
        </w:rPr>
        <w:t>）</w:t>
      </w:r>
      <w:r w:rsidRPr="0088546C">
        <w:rPr>
          <w:rFonts w:ascii="仿宋" w:eastAsia="仿宋" w:hAnsi="仿宋" w:cs="宋体" w:hint="eastAsia"/>
          <w:kern w:val="0"/>
          <w:sz w:val="28"/>
          <w:szCs w:val="28"/>
        </w:rPr>
        <w:t>等，但未实际使用该商标。自</w:t>
      </w:r>
      <w:r w:rsidRPr="0088546C">
        <w:rPr>
          <w:rFonts w:ascii="仿宋" w:eastAsia="仿宋" w:hAnsi="仿宋" w:cs="宋体"/>
          <w:kern w:val="0"/>
          <w:sz w:val="28"/>
          <w:szCs w:val="28"/>
        </w:rPr>
        <w:t>2010</w:t>
      </w:r>
      <w:r w:rsidRPr="0088546C">
        <w:rPr>
          <w:rFonts w:ascii="仿宋" w:eastAsia="仿宋" w:hAnsi="仿宋" w:cs="宋体" w:hint="eastAsia"/>
          <w:kern w:val="0"/>
          <w:sz w:val="28"/>
          <w:szCs w:val="28"/>
        </w:rPr>
        <w:t>年起，原告在苹果应用商店推出提供旅游相关产品及服务的应用程序，在程序图标中使用了“双头驴”，内容介绍中出现“驴妈妈旅游”、“自在游天下，就找驴妈妈”等宣传文字。</w:t>
      </w:r>
      <w:r w:rsidRPr="0088546C">
        <w:rPr>
          <w:rFonts w:ascii="仿宋" w:eastAsia="仿宋" w:hAnsi="仿宋" w:cs="宋体"/>
          <w:kern w:val="0"/>
          <w:sz w:val="28"/>
          <w:szCs w:val="28"/>
        </w:rPr>
        <w:t>2015</w:t>
      </w:r>
      <w:r w:rsidRPr="0088546C">
        <w:rPr>
          <w:rFonts w:ascii="仿宋" w:eastAsia="仿宋" w:hAnsi="仿宋" w:cs="宋体" w:hint="eastAsia"/>
          <w:kern w:val="0"/>
          <w:sz w:val="28"/>
          <w:szCs w:val="28"/>
        </w:rPr>
        <w:t>年</w:t>
      </w:r>
      <w:r w:rsidRPr="0088546C">
        <w:rPr>
          <w:rFonts w:ascii="仿宋" w:eastAsia="仿宋" w:hAnsi="仿宋" w:cs="宋体"/>
          <w:kern w:val="0"/>
          <w:sz w:val="28"/>
          <w:szCs w:val="28"/>
        </w:rPr>
        <w:t>9</w:t>
      </w:r>
      <w:r w:rsidRPr="0088546C">
        <w:rPr>
          <w:rFonts w:ascii="仿宋" w:eastAsia="仿宋" w:hAnsi="仿宋" w:cs="宋体" w:hint="eastAsia"/>
          <w:kern w:val="0"/>
          <w:sz w:val="28"/>
          <w:szCs w:val="28"/>
        </w:rPr>
        <w:t>月，被告向苹果应用商店投诉称，原告在其应用程序中使用“驴妈妈”标识，侵犯其商标权，要求予以下架处理，后被告一直未就此向法院提起诉讼。原告认为，其并未将“驴妈妈”作为商标使用，被告恶意抢注商标后对原告合理使用行为进行投诉，严重影响原告公司正常经营，遂向法院起诉</w:t>
      </w:r>
      <w:r>
        <w:rPr>
          <w:rFonts w:ascii="仿宋" w:eastAsia="仿宋" w:hAnsi="仿宋" w:cs="宋体" w:hint="eastAsia"/>
          <w:kern w:val="0"/>
          <w:sz w:val="28"/>
          <w:szCs w:val="28"/>
        </w:rPr>
        <w:t>，</w:t>
      </w:r>
      <w:r w:rsidRPr="0088546C">
        <w:rPr>
          <w:rFonts w:ascii="仿宋" w:eastAsia="仿宋" w:hAnsi="仿宋" w:cs="宋体" w:hint="eastAsia"/>
          <w:kern w:val="0"/>
          <w:sz w:val="28"/>
          <w:szCs w:val="28"/>
        </w:rPr>
        <w:t>请求确认原告不侵犯被告在第</w:t>
      </w:r>
      <w:r w:rsidRPr="0088546C">
        <w:rPr>
          <w:rFonts w:ascii="仿宋" w:eastAsia="仿宋" w:hAnsi="仿宋" w:cs="宋体"/>
          <w:kern w:val="0"/>
          <w:sz w:val="28"/>
          <w:szCs w:val="28"/>
        </w:rPr>
        <w:t>11276092</w:t>
      </w:r>
      <w:r w:rsidRPr="0088546C">
        <w:rPr>
          <w:rFonts w:ascii="仿宋" w:eastAsia="仿宋" w:hAnsi="仿宋" w:cs="宋体" w:hint="eastAsia"/>
          <w:kern w:val="0"/>
          <w:sz w:val="28"/>
          <w:szCs w:val="28"/>
        </w:rPr>
        <w:t>号商标上享有的商标权。被告辩称，在涉案应用程序上线之前，被告已取得第</w:t>
      </w:r>
      <w:r w:rsidRPr="0088546C">
        <w:rPr>
          <w:rFonts w:ascii="仿宋" w:eastAsia="仿宋" w:hAnsi="仿宋" w:cs="宋体"/>
          <w:kern w:val="0"/>
          <w:sz w:val="28"/>
          <w:szCs w:val="28"/>
        </w:rPr>
        <w:t>11276092</w:t>
      </w:r>
      <w:r w:rsidRPr="0088546C">
        <w:rPr>
          <w:rFonts w:ascii="仿宋" w:eastAsia="仿宋" w:hAnsi="仿宋" w:cs="宋体" w:hint="eastAsia"/>
          <w:kern w:val="0"/>
          <w:sz w:val="28"/>
          <w:szCs w:val="28"/>
        </w:rPr>
        <w:t>号商标权，原告改变其注册商标的结构与方式，在与被告商标相同的类别上使用同被告商标近似的标识，易造成公众混淆，侵犯被告的商标权，应驳回原告诉请。</w:t>
      </w:r>
    </w:p>
    <w:p w:rsidR="00FF7D45" w:rsidRDefault="00FF7D45" w:rsidP="004F78FA">
      <w:pPr>
        <w:adjustRightInd w:val="0"/>
        <w:snapToGrid w:val="0"/>
        <w:spacing w:line="480" w:lineRule="exact"/>
        <w:ind w:firstLine="562"/>
        <w:rPr>
          <w:rFonts w:ascii="仿宋" w:eastAsia="仿宋" w:hAnsi="仿宋"/>
          <w:b/>
          <w:color w:val="000000"/>
          <w:sz w:val="28"/>
          <w:szCs w:val="28"/>
        </w:rPr>
      </w:pPr>
    </w:p>
    <w:p w:rsidR="004F78FA" w:rsidRPr="0088546C" w:rsidRDefault="004F78FA" w:rsidP="004F78FA">
      <w:pPr>
        <w:adjustRightInd w:val="0"/>
        <w:snapToGrid w:val="0"/>
        <w:spacing w:line="480" w:lineRule="exact"/>
        <w:ind w:firstLine="562"/>
        <w:rPr>
          <w:rFonts w:ascii="仿宋" w:eastAsia="仿宋" w:hAnsi="仿宋"/>
          <w:b/>
          <w:color w:val="000000"/>
          <w:sz w:val="28"/>
          <w:szCs w:val="28"/>
        </w:rPr>
      </w:pPr>
      <w:r w:rsidRPr="0088546C">
        <w:rPr>
          <w:rFonts w:ascii="仿宋" w:eastAsia="仿宋" w:hAnsi="仿宋" w:hint="eastAsia"/>
          <w:b/>
          <w:color w:val="000000"/>
          <w:sz w:val="28"/>
          <w:szCs w:val="28"/>
        </w:rPr>
        <w:t>裁判理由：</w:t>
      </w:r>
    </w:p>
    <w:p w:rsidR="004F78FA" w:rsidRDefault="004F78FA" w:rsidP="004F78FA">
      <w:pPr>
        <w:adjustRightInd w:val="0"/>
        <w:snapToGrid w:val="0"/>
        <w:spacing w:line="480" w:lineRule="exact"/>
        <w:ind w:firstLine="560"/>
        <w:rPr>
          <w:rFonts w:ascii="仿宋" w:eastAsia="仿宋" w:hAnsi="仿宋" w:cs="宋体"/>
          <w:kern w:val="0"/>
          <w:sz w:val="28"/>
          <w:szCs w:val="28"/>
        </w:rPr>
      </w:pPr>
      <w:r w:rsidRPr="0088546C">
        <w:rPr>
          <w:rFonts w:ascii="仿宋" w:eastAsia="仿宋" w:hAnsi="仿宋" w:cs="宋体" w:hint="eastAsia"/>
          <w:kern w:val="0"/>
          <w:sz w:val="28"/>
          <w:szCs w:val="28"/>
        </w:rPr>
        <w:t>法院认为，首先，结合最高院关于审理专利权纠纷司法解释中对确认不侵权之诉受理条件的规定可知，确认不侵权纠纷的受理条件，</w:t>
      </w:r>
      <w:r w:rsidRPr="0088546C">
        <w:rPr>
          <w:rFonts w:ascii="仿宋" w:eastAsia="仿宋" w:hAnsi="仿宋" w:cs="宋体" w:hint="eastAsia"/>
          <w:kern w:val="0"/>
          <w:sz w:val="28"/>
          <w:szCs w:val="28"/>
        </w:rPr>
        <w:lastRenderedPageBreak/>
        <w:t>不仅要符合民诉法关于普通民事纠纷的起诉条件，还具备特定的前提，即：原告受到了内容明确的侵权警告；权利人未在合理期间内启动争议解决程序；由于不启动争议解决程序致使争议法律关系状态不明；该不明法律状态导致原告合法权益受到或可能受到损害。</w:t>
      </w:r>
    </w:p>
    <w:p w:rsidR="00B06101" w:rsidRDefault="004F78FA" w:rsidP="004F78FA">
      <w:pPr>
        <w:adjustRightInd w:val="0"/>
        <w:snapToGrid w:val="0"/>
        <w:spacing w:line="480" w:lineRule="exact"/>
        <w:ind w:firstLine="560"/>
        <w:rPr>
          <w:rFonts w:ascii="仿宋" w:eastAsia="仿宋" w:hAnsi="仿宋" w:cs="宋体"/>
          <w:kern w:val="0"/>
          <w:sz w:val="28"/>
          <w:szCs w:val="28"/>
        </w:rPr>
      </w:pPr>
      <w:r w:rsidRPr="0088546C">
        <w:rPr>
          <w:rFonts w:ascii="仿宋" w:eastAsia="仿宋" w:hAnsi="仿宋" w:cs="宋体" w:hint="eastAsia"/>
          <w:kern w:val="0"/>
          <w:sz w:val="28"/>
          <w:szCs w:val="28"/>
        </w:rPr>
        <w:t>本案中，原告“驴妈妈”</w:t>
      </w:r>
      <w:r w:rsidRPr="0088546C">
        <w:rPr>
          <w:rFonts w:ascii="仿宋" w:eastAsia="仿宋" w:hAnsi="仿宋" w:cs="宋体"/>
          <w:kern w:val="0"/>
          <w:sz w:val="28"/>
          <w:szCs w:val="28"/>
        </w:rPr>
        <w:t>APP</w:t>
      </w:r>
      <w:r w:rsidRPr="0088546C">
        <w:rPr>
          <w:rFonts w:ascii="仿宋" w:eastAsia="仿宋" w:hAnsi="仿宋" w:cs="宋体" w:hint="eastAsia"/>
          <w:kern w:val="0"/>
          <w:sz w:val="28"/>
          <w:szCs w:val="28"/>
        </w:rPr>
        <w:t>因被告投诉被苹果公司下架，此后被告仅通过电子邮件和原告协商商标转让一事，并未在合理期限内启动纠纷解决程序，使原告陷入不确定的法律状态，因此原告提起确认不侵权之诉符合条件。</w:t>
      </w:r>
    </w:p>
    <w:p w:rsidR="004F78FA" w:rsidRPr="0088546C" w:rsidRDefault="004F78FA" w:rsidP="004F78FA">
      <w:pPr>
        <w:adjustRightInd w:val="0"/>
        <w:snapToGrid w:val="0"/>
        <w:spacing w:line="480" w:lineRule="exact"/>
        <w:ind w:firstLine="560"/>
        <w:rPr>
          <w:rFonts w:ascii="仿宋" w:eastAsia="仿宋" w:hAnsi="仿宋" w:cs="宋体"/>
          <w:kern w:val="0"/>
          <w:sz w:val="28"/>
          <w:szCs w:val="28"/>
        </w:rPr>
      </w:pPr>
      <w:r w:rsidRPr="0088546C">
        <w:rPr>
          <w:rFonts w:ascii="仿宋" w:eastAsia="仿宋" w:hAnsi="仿宋" w:cs="宋体" w:hint="eastAsia"/>
          <w:kern w:val="0"/>
          <w:sz w:val="28"/>
          <w:szCs w:val="28"/>
        </w:rPr>
        <w:t>其次，关于原告行为是否构成商标侵权。虽然本案中，原告的</w:t>
      </w:r>
      <w:r w:rsidRPr="0088546C">
        <w:rPr>
          <w:rFonts w:ascii="仿宋" w:eastAsia="仿宋" w:hAnsi="仿宋" w:cs="宋体"/>
          <w:kern w:val="0"/>
          <w:sz w:val="28"/>
          <w:szCs w:val="28"/>
        </w:rPr>
        <w:t>APP</w:t>
      </w:r>
      <w:r w:rsidRPr="0088546C">
        <w:rPr>
          <w:rFonts w:ascii="仿宋" w:eastAsia="仿宋" w:hAnsi="仿宋" w:cs="宋体" w:hint="eastAsia"/>
          <w:kern w:val="0"/>
          <w:sz w:val="28"/>
          <w:szCs w:val="28"/>
        </w:rPr>
        <w:t>应用程序与被告商标在类别上构成类似，且原告使用的“驴妈妈”字样与被告商标构成近似，但在公众混淆可能性方面，本院审查了原告对“驴妈妈”字样的使用方式、</w:t>
      </w:r>
      <w:r w:rsidRPr="0088546C">
        <w:rPr>
          <w:rFonts w:ascii="仿宋" w:eastAsia="仿宋" w:hAnsi="仿宋" w:cs="宋体"/>
          <w:kern w:val="0"/>
          <w:sz w:val="28"/>
          <w:szCs w:val="28"/>
        </w:rPr>
        <w:t>APP</w:t>
      </w:r>
      <w:r w:rsidRPr="0088546C">
        <w:rPr>
          <w:rFonts w:ascii="仿宋" w:eastAsia="仿宋" w:hAnsi="仿宋" w:cs="宋体" w:hint="eastAsia"/>
          <w:kern w:val="0"/>
          <w:sz w:val="28"/>
          <w:szCs w:val="28"/>
        </w:rPr>
        <w:t>的受众、市场知名度、品牌发展情况和主观状态等因素，结合原告在先权利使用情况及被告的商标使用情况，认为原告的行为不会导致相关公众混淆误认，不构成对被告商标的侵害。据此，判决确认原告不侵犯被告商标权。</w:t>
      </w:r>
    </w:p>
    <w:p w:rsidR="00FF7D45" w:rsidRDefault="00FF7D45" w:rsidP="004F78FA">
      <w:pPr>
        <w:spacing w:line="480" w:lineRule="exact"/>
        <w:ind w:firstLine="562"/>
        <w:rPr>
          <w:rFonts w:ascii="仿宋" w:eastAsia="仿宋" w:hAnsi="仿宋" w:cs="宋体"/>
          <w:b/>
          <w:kern w:val="0"/>
          <w:sz w:val="28"/>
          <w:szCs w:val="28"/>
        </w:rPr>
      </w:pPr>
    </w:p>
    <w:p w:rsidR="004F78FA" w:rsidRPr="0088546C" w:rsidRDefault="004F78FA" w:rsidP="004F78FA">
      <w:pPr>
        <w:spacing w:line="480" w:lineRule="exact"/>
        <w:ind w:firstLine="562"/>
        <w:rPr>
          <w:rFonts w:ascii="仿宋" w:eastAsia="仿宋" w:hAnsi="仿宋" w:cs="宋体"/>
          <w:b/>
          <w:kern w:val="0"/>
          <w:sz w:val="28"/>
          <w:szCs w:val="28"/>
        </w:rPr>
      </w:pPr>
      <w:r w:rsidRPr="0088546C">
        <w:rPr>
          <w:rFonts w:ascii="仿宋" w:eastAsia="仿宋" w:hAnsi="仿宋" w:cs="宋体" w:hint="eastAsia"/>
          <w:b/>
          <w:kern w:val="0"/>
          <w:sz w:val="28"/>
          <w:szCs w:val="28"/>
        </w:rPr>
        <w:t>专家点评：</w:t>
      </w:r>
    </w:p>
    <w:p w:rsidR="004F78FA" w:rsidRPr="0088546C" w:rsidRDefault="004F78FA" w:rsidP="004F78FA">
      <w:pPr>
        <w:spacing w:line="480" w:lineRule="exact"/>
        <w:ind w:firstLine="560"/>
        <w:rPr>
          <w:rFonts w:ascii="仿宋" w:eastAsia="仿宋" w:hAnsi="仿宋" w:cs="仿宋"/>
          <w:sz w:val="28"/>
          <w:szCs w:val="28"/>
        </w:rPr>
      </w:pPr>
      <w:r w:rsidRPr="0088546C">
        <w:rPr>
          <w:rFonts w:ascii="仿宋" w:eastAsia="仿宋" w:hAnsi="仿宋" w:cs="仿宋" w:hint="eastAsia"/>
          <w:sz w:val="28"/>
          <w:szCs w:val="28"/>
        </w:rPr>
        <w:t>在日益激烈的商业竞争中，知识产权并不只是一种单纯的法律权利，而更是一种可以广泛运用的竞争工具和法律筹码。一些权利人基于竞争或获利的目的，不时以知识产权为武器攻击竞争对手或合法经营者，其重要表现就是发送侵权警告或提出侵权指控，从而让对方处于利益不安定的状态，危及其正常的生产经营。为了防止权利人滥用知识产权，破坏正常的市场竞争秩序，知识产权确认不侵权之诉应运而生，允许被控侵权人主动向法院提起诉讼，请求确认其不侵犯他人的知识产权，从而消除对自己的危险状态或不安影响。</w:t>
      </w:r>
    </w:p>
    <w:p w:rsidR="004F78FA" w:rsidRPr="0088546C" w:rsidRDefault="004F78FA" w:rsidP="004F78FA">
      <w:pPr>
        <w:spacing w:line="480" w:lineRule="exact"/>
        <w:ind w:firstLine="560"/>
        <w:rPr>
          <w:rFonts w:ascii="仿宋" w:eastAsia="仿宋" w:hAnsi="仿宋" w:cs="仿宋"/>
          <w:sz w:val="28"/>
          <w:szCs w:val="28"/>
        </w:rPr>
      </w:pPr>
      <w:r w:rsidRPr="0088546C">
        <w:rPr>
          <w:rFonts w:ascii="仿宋" w:eastAsia="仿宋" w:hAnsi="仿宋" w:cs="仿宋" w:hint="eastAsia"/>
          <w:sz w:val="28"/>
          <w:szCs w:val="28"/>
        </w:rPr>
        <w:t>在司法实践中，一般认为，权利人向他人发出侵权警告或有类似于侵权警告的行为，又未在合理时间内启动争议解决纠纷程序，是知识产权确认不侵权之诉的事实前提。本案中，被告向苹果应用商店投诉原告侵犯其商标权，要求对原告的应用程序予以下架处理，且一直</w:t>
      </w:r>
      <w:r w:rsidRPr="0088546C">
        <w:rPr>
          <w:rFonts w:ascii="仿宋" w:eastAsia="仿宋" w:hAnsi="仿宋" w:cs="仿宋" w:hint="eastAsia"/>
          <w:sz w:val="28"/>
          <w:szCs w:val="28"/>
        </w:rPr>
        <w:lastRenderedPageBreak/>
        <w:t>未就此向法院提起诉讼，满足了“原告受到了内容明确的侵权警告，权利人未在合理期间内启动争议解决程序”的事实前提，因为该投诉与原告有直接的利害关系，其必然使原告的利益受到影响。本案进一步廓清了确认不侵权纠纷的受理条件，并结合APP受众、品牌发展情况和主观状态等因素，否定了原告与被告商标之间的混淆可能性，从而消除了原告利益的不安定状态，有利于维护企业经营的正当权益，有利于营造良好的营商环境。</w:t>
      </w:r>
    </w:p>
    <w:p w:rsidR="004F78FA" w:rsidRPr="0088546C" w:rsidRDefault="004F78FA" w:rsidP="004F78FA">
      <w:pPr>
        <w:spacing w:line="480" w:lineRule="exact"/>
        <w:ind w:firstLine="560"/>
        <w:rPr>
          <w:rFonts w:ascii="仿宋" w:eastAsia="仿宋" w:hAnsi="仿宋" w:cs="仿宋"/>
          <w:sz w:val="28"/>
          <w:szCs w:val="28"/>
        </w:rPr>
      </w:pPr>
      <w:r w:rsidRPr="0088546C">
        <w:rPr>
          <w:rFonts w:ascii="仿宋" w:eastAsia="仿宋" w:hAnsi="仿宋" w:cs="仿宋" w:hint="eastAsia"/>
          <w:sz w:val="28"/>
          <w:szCs w:val="28"/>
        </w:rPr>
        <w:t>（点评人：袁真富，副教授、博士，上海大学知识产权学院副院长）</w:t>
      </w:r>
    </w:p>
    <w:p w:rsidR="004F78FA" w:rsidRPr="0088546C" w:rsidRDefault="004F78FA" w:rsidP="004F78FA">
      <w:pPr>
        <w:adjustRightInd w:val="0"/>
        <w:snapToGrid w:val="0"/>
        <w:spacing w:line="480" w:lineRule="exact"/>
        <w:ind w:firstLine="560"/>
        <w:rPr>
          <w:rFonts w:ascii="仿宋" w:eastAsia="仿宋" w:hAnsi="仿宋" w:cs="宋体"/>
          <w:kern w:val="0"/>
          <w:sz w:val="28"/>
          <w:szCs w:val="28"/>
        </w:rPr>
      </w:pPr>
    </w:p>
    <w:p w:rsidR="004F78FA" w:rsidRDefault="004F78FA">
      <w:pPr>
        <w:widowControl/>
        <w:spacing w:line="240" w:lineRule="auto"/>
        <w:ind w:firstLineChars="0" w:firstLine="0"/>
        <w:jc w:val="left"/>
        <w:rPr>
          <w:rFonts w:hAnsi="宋体" w:cs="宋体"/>
          <w:sz w:val="28"/>
          <w:szCs w:val="28"/>
        </w:rPr>
      </w:pPr>
      <w:r>
        <w:rPr>
          <w:rFonts w:hAnsi="宋体" w:cs="宋体"/>
          <w:sz w:val="28"/>
          <w:szCs w:val="28"/>
        </w:rPr>
        <w:br w:type="page"/>
      </w:r>
    </w:p>
    <w:p w:rsidR="004F78FA" w:rsidRPr="00951B91" w:rsidRDefault="004F78FA" w:rsidP="004F78FA">
      <w:pPr>
        <w:adjustRightInd w:val="0"/>
        <w:snapToGrid w:val="0"/>
        <w:spacing w:line="480" w:lineRule="exact"/>
        <w:ind w:firstLine="562"/>
        <w:jc w:val="center"/>
        <w:rPr>
          <w:rFonts w:ascii="仿宋" w:eastAsia="仿宋" w:hAnsi="仿宋"/>
          <w:b/>
          <w:sz w:val="28"/>
          <w:szCs w:val="28"/>
        </w:rPr>
      </w:pPr>
      <w:r w:rsidRPr="00951B91">
        <w:rPr>
          <w:rFonts w:ascii="仿宋" w:eastAsia="仿宋" w:hAnsi="仿宋" w:hint="eastAsia"/>
          <w:b/>
          <w:sz w:val="28"/>
          <w:szCs w:val="28"/>
        </w:rPr>
        <w:lastRenderedPageBreak/>
        <w:t>转换</w:t>
      </w:r>
      <w:r w:rsidR="00CC2551">
        <w:rPr>
          <w:rFonts w:ascii="仿宋" w:eastAsia="仿宋" w:hAnsi="仿宋" w:hint="eastAsia"/>
          <w:b/>
          <w:sz w:val="28"/>
          <w:szCs w:val="28"/>
        </w:rPr>
        <w:t>性</w:t>
      </w:r>
      <w:r w:rsidRPr="00951B91">
        <w:rPr>
          <w:rFonts w:ascii="仿宋" w:eastAsia="仿宋" w:hAnsi="仿宋" w:hint="eastAsia"/>
          <w:b/>
          <w:sz w:val="28"/>
          <w:szCs w:val="28"/>
        </w:rPr>
        <w:t>使用构成</w:t>
      </w:r>
      <w:r>
        <w:rPr>
          <w:rFonts w:ascii="仿宋" w:eastAsia="仿宋" w:hAnsi="仿宋" w:hint="eastAsia"/>
          <w:b/>
          <w:sz w:val="28"/>
          <w:szCs w:val="28"/>
        </w:rPr>
        <w:t>著作权法上的合理</w:t>
      </w:r>
      <w:r w:rsidR="00CC2551">
        <w:rPr>
          <w:rFonts w:ascii="仿宋" w:eastAsia="仿宋" w:hAnsi="仿宋" w:hint="eastAsia"/>
          <w:b/>
          <w:sz w:val="28"/>
          <w:szCs w:val="28"/>
        </w:rPr>
        <w:t>使用</w:t>
      </w:r>
    </w:p>
    <w:p w:rsidR="004F78FA" w:rsidRPr="00951B91" w:rsidRDefault="004F78FA" w:rsidP="004F78FA">
      <w:pPr>
        <w:adjustRightInd w:val="0"/>
        <w:snapToGrid w:val="0"/>
        <w:spacing w:line="480" w:lineRule="exact"/>
        <w:ind w:firstLine="560"/>
        <w:jc w:val="center"/>
        <w:rPr>
          <w:rFonts w:ascii="仿宋" w:eastAsia="仿宋" w:hAnsi="仿宋"/>
          <w:color w:val="000000"/>
          <w:sz w:val="28"/>
          <w:szCs w:val="28"/>
        </w:rPr>
      </w:pPr>
      <w:r w:rsidRPr="00951B91">
        <w:rPr>
          <w:rFonts w:ascii="仿宋" w:eastAsia="仿宋" w:hAnsi="仿宋" w:hint="eastAsia"/>
          <w:color w:val="000000"/>
          <w:sz w:val="28"/>
          <w:szCs w:val="28"/>
        </w:rPr>
        <w:t>——美影厂诉新影年代公司等著作权侵权纠纷案</w:t>
      </w:r>
    </w:p>
    <w:p w:rsidR="00FF7D45" w:rsidRDefault="00FF7D45" w:rsidP="004F78FA">
      <w:pPr>
        <w:adjustRightInd w:val="0"/>
        <w:snapToGrid w:val="0"/>
        <w:spacing w:line="480" w:lineRule="exact"/>
        <w:ind w:firstLine="562"/>
        <w:rPr>
          <w:rFonts w:ascii="仿宋" w:eastAsia="仿宋" w:hAnsi="仿宋"/>
          <w:b/>
          <w:sz w:val="28"/>
          <w:szCs w:val="28"/>
        </w:rPr>
      </w:pPr>
    </w:p>
    <w:p w:rsidR="004F78FA" w:rsidRPr="00951B91" w:rsidRDefault="004F78FA" w:rsidP="004F78FA">
      <w:pPr>
        <w:adjustRightInd w:val="0"/>
        <w:snapToGrid w:val="0"/>
        <w:spacing w:line="480" w:lineRule="exact"/>
        <w:ind w:firstLine="562"/>
        <w:rPr>
          <w:rFonts w:ascii="仿宋" w:eastAsia="仿宋" w:hAnsi="仿宋"/>
          <w:sz w:val="28"/>
          <w:szCs w:val="28"/>
        </w:rPr>
      </w:pPr>
      <w:r w:rsidRPr="00951B91">
        <w:rPr>
          <w:rFonts w:ascii="仿宋" w:eastAsia="仿宋" w:hAnsi="仿宋" w:hint="eastAsia"/>
          <w:b/>
          <w:sz w:val="28"/>
          <w:szCs w:val="28"/>
        </w:rPr>
        <w:t>案情简介</w:t>
      </w:r>
      <w:r w:rsidRPr="00951B91">
        <w:rPr>
          <w:rFonts w:ascii="仿宋" w:eastAsia="仿宋" w:hAnsi="仿宋" w:hint="eastAsia"/>
          <w:sz w:val="28"/>
          <w:szCs w:val="28"/>
        </w:rPr>
        <w:t>：</w:t>
      </w:r>
    </w:p>
    <w:p w:rsidR="004F78FA" w:rsidRPr="00951B91" w:rsidRDefault="004F78FA" w:rsidP="004F78FA">
      <w:pPr>
        <w:adjustRightInd w:val="0"/>
        <w:snapToGrid w:val="0"/>
        <w:spacing w:line="480" w:lineRule="exact"/>
        <w:ind w:firstLine="560"/>
        <w:rPr>
          <w:rFonts w:ascii="仿宋" w:eastAsia="仿宋" w:hAnsi="仿宋"/>
          <w:color w:val="000000"/>
          <w:sz w:val="28"/>
          <w:szCs w:val="28"/>
        </w:rPr>
      </w:pPr>
      <w:r w:rsidRPr="00951B91">
        <w:rPr>
          <w:rFonts w:ascii="仿宋" w:eastAsia="仿宋" w:hAnsi="仿宋" w:hint="eastAsia"/>
          <w:color w:val="000000"/>
          <w:sz w:val="28"/>
          <w:szCs w:val="28"/>
        </w:rPr>
        <w:t>原告美影厂系“葫芦娃”“黑猫警长”形象美术作品的著作权人,相关动画片创作于上世纪八十年代,享有盛誉。电影《80后的独立宣言》由被告新影年代公司出品。电影海报中突出部分为男女主角人物形象及主演姓名，背景则零散分布着诸多美术形象，包括“葫芦娃”、“黑猫警长”卡通形象；身着白绿校服的</w:t>
      </w:r>
      <w:r w:rsidRPr="00951B91">
        <w:rPr>
          <w:rFonts w:ascii="仿宋" w:eastAsia="仿宋" w:hAnsi="仿宋" w:hint="eastAsia"/>
          <w:sz w:val="28"/>
          <w:szCs w:val="28"/>
        </w:rPr>
        <w:t>少先队员</w:t>
      </w:r>
      <w:r w:rsidRPr="00951B91">
        <w:rPr>
          <w:rFonts w:ascii="仿宋" w:eastAsia="仿宋" w:hAnsi="仿宋" w:hint="eastAsia"/>
          <w:color w:val="000000"/>
          <w:sz w:val="28"/>
          <w:szCs w:val="28"/>
        </w:rPr>
        <w:t>参加升旗仪式等情景；黑白电视机等家电用品；缝纫机等日用品；铅笔盒等文教用品；铁皮青蛙等玩具</w:t>
      </w:r>
      <w:r>
        <w:rPr>
          <w:rFonts w:ascii="仿宋" w:eastAsia="仿宋" w:hAnsi="仿宋" w:hint="eastAsia"/>
          <w:color w:val="000000"/>
          <w:sz w:val="28"/>
          <w:szCs w:val="28"/>
        </w:rPr>
        <w:t>。</w:t>
      </w:r>
      <w:r w:rsidRPr="00951B91">
        <w:rPr>
          <w:rFonts w:ascii="仿宋" w:eastAsia="仿宋" w:hAnsi="仿宋" w:hint="eastAsia"/>
          <w:color w:val="000000"/>
          <w:sz w:val="28"/>
          <w:szCs w:val="28"/>
        </w:rPr>
        <w:t>其中“葫芦娃”、“黑猫警长”分别居于男女主角的左右两侧。诸多背景图案与</w:t>
      </w:r>
      <w:r w:rsidRPr="00951B91">
        <w:rPr>
          <w:rFonts w:ascii="仿宋" w:eastAsia="仿宋" w:hAnsi="仿宋" w:hint="eastAsia"/>
          <w:sz w:val="28"/>
          <w:szCs w:val="28"/>
        </w:rPr>
        <w:t>男女</w:t>
      </w:r>
      <w:r w:rsidRPr="00951B91">
        <w:rPr>
          <w:rFonts w:ascii="仿宋" w:eastAsia="仿宋" w:hAnsi="仿宋" w:hint="eastAsia"/>
          <w:color w:val="000000"/>
          <w:sz w:val="28"/>
          <w:szCs w:val="28"/>
        </w:rPr>
        <w:t>主角形象相较，比例显著较小，“葫芦娃”、“黑猫警长”美术形象与其他背景图案大小基本相同。原告认为，该海报未经其许可，使用了涉案美术作品，侵犯了复制权、发行权等著作权，起诉要求被告停止侵权、消除影响并赔偿损失。被告则认为，“葫芦娃”、“黑猫警长”属于80后一代集体记忆，和其他具特定年代感的美术要素结合，均是为了说明电影主人公年龄特点，且在海报中使用比例较小，属合理使用，故不构成侵权。</w:t>
      </w:r>
    </w:p>
    <w:p w:rsidR="00FF7D45" w:rsidRDefault="00FF7D45" w:rsidP="004F78FA">
      <w:pPr>
        <w:adjustRightInd w:val="0"/>
        <w:snapToGrid w:val="0"/>
        <w:spacing w:line="480" w:lineRule="exact"/>
        <w:ind w:firstLine="562"/>
        <w:rPr>
          <w:rFonts w:ascii="仿宋" w:eastAsia="仿宋" w:hAnsi="仿宋"/>
          <w:b/>
          <w:sz w:val="28"/>
          <w:szCs w:val="28"/>
        </w:rPr>
      </w:pPr>
    </w:p>
    <w:p w:rsidR="004F78FA" w:rsidRPr="00951B91" w:rsidRDefault="004F78FA" w:rsidP="004F78FA">
      <w:pPr>
        <w:adjustRightInd w:val="0"/>
        <w:snapToGrid w:val="0"/>
        <w:spacing w:line="480" w:lineRule="exact"/>
        <w:ind w:firstLine="562"/>
        <w:rPr>
          <w:rFonts w:ascii="仿宋" w:eastAsia="仿宋" w:hAnsi="仿宋"/>
          <w:b/>
          <w:sz w:val="28"/>
          <w:szCs w:val="28"/>
        </w:rPr>
      </w:pPr>
      <w:r w:rsidRPr="00951B91">
        <w:rPr>
          <w:rFonts w:ascii="仿宋" w:eastAsia="仿宋" w:hAnsi="仿宋" w:hint="eastAsia"/>
          <w:b/>
          <w:sz w:val="28"/>
          <w:szCs w:val="28"/>
        </w:rPr>
        <w:t>裁判理由：</w:t>
      </w:r>
    </w:p>
    <w:p w:rsidR="004F78FA" w:rsidRPr="00951B91" w:rsidRDefault="004F78FA" w:rsidP="004F78FA">
      <w:pPr>
        <w:adjustRightInd w:val="0"/>
        <w:snapToGrid w:val="0"/>
        <w:spacing w:line="480" w:lineRule="exact"/>
        <w:ind w:firstLine="560"/>
        <w:rPr>
          <w:rFonts w:ascii="仿宋" w:eastAsia="仿宋" w:hAnsi="仿宋"/>
          <w:color w:val="000000"/>
          <w:sz w:val="28"/>
          <w:szCs w:val="28"/>
        </w:rPr>
      </w:pPr>
      <w:r w:rsidRPr="00951B91">
        <w:rPr>
          <w:rFonts w:ascii="仿宋" w:eastAsia="仿宋" w:hAnsi="仿宋" w:hint="eastAsia"/>
          <w:color w:val="000000"/>
          <w:sz w:val="28"/>
          <w:szCs w:val="28"/>
        </w:rPr>
        <w:t>法院认为，根据著作权法及实施条例的相关规定，“适当引用”是构成合理使用的一种情形，它是指为介绍、评论某一作品或者说明某一问题，在作品中适当引用他人已经发表的作品，该使用不得影响该作品的正常使用，也不得不合理地损害著作权人的合法利益。因此判断对他人作品的使用是否属于合理使用，应当综合考虑被引用作品是否已经公开发表、引用他人作品的目的、被引用作品占整个作品的比例、是否会对原作品的正常使用或市场销售造成不良影响等因素予以认定。</w:t>
      </w:r>
    </w:p>
    <w:p w:rsidR="004F78FA" w:rsidRPr="00951B91" w:rsidRDefault="004F78FA" w:rsidP="004F78FA">
      <w:pPr>
        <w:adjustRightInd w:val="0"/>
        <w:snapToGrid w:val="0"/>
        <w:spacing w:line="480" w:lineRule="exact"/>
        <w:ind w:firstLine="560"/>
        <w:rPr>
          <w:rFonts w:ascii="仿宋" w:eastAsia="仿宋" w:hAnsi="仿宋"/>
          <w:color w:val="000000"/>
          <w:sz w:val="28"/>
          <w:szCs w:val="28"/>
        </w:rPr>
      </w:pPr>
      <w:r w:rsidRPr="00951B91">
        <w:rPr>
          <w:rFonts w:ascii="仿宋" w:eastAsia="仿宋" w:hAnsi="仿宋" w:hint="eastAsia"/>
          <w:color w:val="000000"/>
          <w:sz w:val="28"/>
          <w:szCs w:val="28"/>
        </w:rPr>
        <w:t>本案中，涉案美术作品创作完成于上世纪八十年代，和海报背景</w:t>
      </w:r>
      <w:r w:rsidRPr="00951B91">
        <w:rPr>
          <w:rFonts w:ascii="仿宋" w:eastAsia="仿宋" w:hAnsi="仿宋" w:hint="eastAsia"/>
          <w:color w:val="000000"/>
          <w:sz w:val="28"/>
          <w:szCs w:val="28"/>
        </w:rPr>
        <w:lastRenderedPageBreak/>
        <w:t>中的其他美术要素，皆属80后成长记忆中具有代表性的人、物、景，这些元素相组合后确具较强的时代</w:t>
      </w:r>
      <w:r w:rsidR="00B06101">
        <w:rPr>
          <w:rFonts w:ascii="仿宋" w:eastAsia="仿宋" w:hAnsi="仿宋" w:hint="eastAsia"/>
          <w:color w:val="000000"/>
          <w:sz w:val="28"/>
          <w:szCs w:val="28"/>
        </w:rPr>
        <w:t>带</w:t>
      </w:r>
      <w:r w:rsidRPr="00951B91">
        <w:rPr>
          <w:rFonts w:ascii="仿宋" w:eastAsia="仿宋" w:hAnsi="仿宋" w:hint="eastAsia"/>
          <w:color w:val="000000"/>
          <w:sz w:val="28"/>
          <w:szCs w:val="28"/>
        </w:rPr>
        <w:t>入感，在电影海报中引用涉案美术作品不是单纯再现其艺术美感和功能，而是反映八十年代的时代年龄特征，该种引用在电影海报中具有了新的价值、意义和功能，其原有的艺术价值功能发生转换，且转换性程度较高，属于我国著作权法规定的为了说明某一问题的情形；从其占整个海报比例来看，系作为背景使用，占海报面积较小，并未突出显示，仅为辅助、从属地位，属于适度引用；电影海报的使用方式不至于吸引对涉案两个美术作品有特定需求的受众，从而放弃对涉案作品的选择使用，因此该使用方式不会产生替代性作用，不会影响权利人的正常使用；本案中的海报创作属特殊情况，不具有普遍性，随着电影播映期的消逝，该电影海报的影响也会逐步减小，因此不会不合理地损害权利人的合法利益。综上，被告使用涉案美术作品的方式构成著作法意义上的合理使用，不构成侵权。据此，判决驳回原告全部诉讼请求。</w:t>
      </w:r>
    </w:p>
    <w:p w:rsidR="00FF7D45" w:rsidRDefault="00FF7D45" w:rsidP="004F78FA">
      <w:pPr>
        <w:adjustRightInd w:val="0"/>
        <w:snapToGrid w:val="0"/>
        <w:spacing w:line="480" w:lineRule="exact"/>
        <w:ind w:firstLine="562"/>
        <w:rPr>
          <w:rFonts w:ascii="仿宋" w:eastAsia="仿宋" w:hAnsi="仿宋"/>
          <w:b/>
          <w:color w:val="000000"/>
          <w:sz w:val="28"/>
          <w:szCs w:val="28"/>
        </w:rPr>
      </w:pPr>
    </w:p>
    <w:p w:rsidR="004F78FA" w:rsidRPr="00951B91" w:rsidRDefault="004F78FA" w:rsidP="004F78FA">
      <w:pPr>
        <w:adjustRightInd w:val="0"/>
        <w:snapToGrid w:val="0"/>
        <w:spacing w:line="480" w:lineRule="exact"/>
        <w:ind w:firstLine="562"/>
        <w:rPr>
          <w:rFonts w:ascii="仿宋" w:eastAsia="仿宋" w:hAnsi="仿宋"/>
          <w:b/>
          <w:color w:val="000000"/>
          <w:sz w:val="28"/>
          <w:szCs w:val="28"/>
        </w:rPr>
      </w:pPr>
      <w:r w:rsidRPr="00951B91">
        <w:rPr>
          <w:rFonts w:ascii="仿宋" w:eastAsia="仿宋" w:hAnsi="仿宋" w:hint="eastAsia"/>
          <w:b/>
          <w:color w:val="000000"/>
          <w:sz w:val="28"/>
          <w:szCs w:val="28"/>
        </w:rPr>
        <w:t>专家点评：</w:t>
      </w:r>
    </w:p>
    <w:p w:rsidR="004F78FA" w:rsidRPr="00951B91" w:rsidRDefault="004F78FA" w:rsidP="004F78FA">
      <w:pPr>
        <w:snapToGrid w:val="0"/>
        <w:spacing w:line="480" w:lineRule="exact"/>
        <w:ind w:firstLine="560"/>
        <w:rPr>
          <w:rFonts w:ascii="仿宋" w:eastAsia="仿宋" w:hAnsi="仿宋"/>
          <w:sz w:val="28"/>
          <w:szCs w:val="28"/>
        </w:rPr>
      </w:pPr>
      <w:r w:rsidRPr="00951B91">
        <w:rPr>
          <w:rFonts w:ascii="仿宋" w:eastAsia="仿宋" w:hAnsi="仿宋" w:hint="eastAsia"/>
          <w:sz w:val="28"/>
          <w:szCs w:val="28"/>
        </w:rPr>
        <w:t>在“美影厂诉新影年代公司等著作权侵权纠纷案”，被告在电影海报中将“葫芦娃”、“黑猫警长”与其他反映80年代少年儿童成长经历的道具共同作为背景使用，属于对美术作品的复制。该未经许可的行为是否构成侵权，取决于其能否被认定为合理使用。《著作权法》虽然规定了“合理引用”，但涉案行为是否属于“为介绍、评论某一作品或者说明某一问题，在作品中适当引用他人已经发表的作品”，无法在立法和司法解释中找到清晰的回答。</w:t>
      </w:r>
    </w:p>
    <w:p w:rsidR="004F78FA" w:rsidRPr="00951B91" w:rsidRDefault="004F78FA" w:rsidP="004F78FA">
      <w:pPr>
        <w:snapToGrid w:val="0"/>
        <w:spacing w:line="480" w:lineRule="exact"/>
        <w:ind w:firstLine="560"/>
        <w:rPr>
          <w:rFonts w:ascii="仿宋" w:eastAsia="仿宋" w:hAnsi="仿宋"/>
          <w:sz w:val="28"/>
          <w:szCs w:val="28"/>
        </w:rPr>
      </w:pPr>
      <w:r w:rsidRPr="00951B91">
        <w:rPr>
          <w:rFonts w:ascii="仿宋" w:eastAsia="仿宋" w:hAnsi="仿宋" w:hint="eastAsia"/>
          <w:sz w:val="28"/>
          <w:szCs w:val="28"/>
        </w:rPr>
        <w:t>对此，法院借鉴了美国版权判例所创设的“转换性使用”，也就是考虑对原作品的使用是否并非单纯地再现原作品本身的文学、艺术价值或者实现其内在功能或目的，而是通过增加新的美学内容、新的视角、新的理念或通过其他方式，使原作品在被使用过程中具有了新的价值、功能或性质，从而改变了其原先的功能或目的。法院指出，涉案电影海报中的“葫芦娃”、“黑猫警长”形象是“80后”群体闪</w:t>
      </w:r>
      <w:r w:rsidRPr="00951B91">
        <w:rPr>
          <w:rFonts w:ascii="仿宋" w:eastAsia="仿宋" w:hAnsi="仿宋" w:hint="eastAsia"/>
          <w:sz w:val="28"/>
          <w:szCs w:val="28"/>
        </w:rPr>
        <w:lastRenderedPageBreak/>
        <w:t>亮的童年记忆，年代特征的结合度较高，与其他作为背景的道具皆属80后成长记忆中具有代表性</w:t>
      </w:r>
      <w:r>
        <w:rPr>
          <w:rFonts w:ascii="仿宋" w:eastAsia="仿宋" w:hAnsi="仿宋" w:hint="eastAsia"/>
          <w:sz w:val="28"/>
          <w:szCs w:val="28"/>
        </w:rPr>
        <w:t>的</w:t>
      </w:r>
      <w:r w:rsidRPr="00951B91">
        <w:rPr>
          <w:rFonts w:ascii="仿宋" w:eastAsia="仿宋" w:hAnsi="仿宋" w:hint="eastAsia"/>
          <w:sz w:val="28"/>
          <w:szCs w:val="28"/>
        </w:rPr>
        <w:t>元素，具有较强的时代带入感，其使用是为了说明某一问题，即涉案电影主角的年龄特征。同时，两个动漫形象在海报中处于辅助、配角、从属的背景地位，所占面积很小，属于适度的引用。因此，法院认定对涉案动漫形象的使用属于</w:t>
      </w:r>
      <w:r w:rsidR="007C0619">
        <w:rPr>
          <w:rFonts w:ascii="仿宋" w:eastAsia="仿宋" w:hAnsi="仿宋" w:hint="eastAsia"/>
          <w:sz w:val="28"/>
          <w:szCs w:val="28"/>
        </w:rPr>
        <w:t>合理</w:t>
      </w:r>
      <w:r w:rsidRPr="00951B91">
        <w:rPr>
          <w:rFonts w:ascii="仿宋" w:eastAsia="仿宋" w:hAnsi="仿宋" w:hint="eastAsia"/>
          <w:sz w:val="28"/>
          <w:szCs w:val="28"/>
        </w:rPr>
        <w:t>使用。</w:t>
      </w:r>
    </w:p>
    <w:p w:rsidR="004F78FA" w:rsidRDefault="004F78FA" w:rsidP="004F78FA">
      <w:pPr>
        <w:adjustRightInd w:val="0"/>
        <w:snapToGrid w:val="0"/>
        <w:spacing w:line="480" w:lineRule="exact"/>
        <w:ind w:firstLine="560"/>
        <w:rPr>
          <w:rFonts w:ascii="仿宋" w:eastAsia="仿宋" w:hAnsi="仿宋"/>
          <w:sz w:val="28"/>
          <w:szCs w:val="28"/>
        </w:rPr>
      </w:pPr>
      <w:r w:rsidRPr="00951B91">
        <w:rPr>
          <w:rFonts w:ascii="仿宋" w:eastAsia="仿宋" w:hAnsi="仿宋" w:hint="eastAsia"/>
          <w:sz w:val="28"/>
          <w:szCs w:val="28"/>
        </w:rPr>
        <w:t>法院实际上是认定“葫芦娃”和“黑猫警长”美术作品在电影海报中功能与目的发生了转换，不是吸引受众欣赏其动漫造型，而是生动地展示电影中主角的年龄特征和时代背景，再加之其很小的尺寸和比例，具有较强的转换性。本案对“转换性使用”的借鉴和结合具体案情的合理应用，为“适当引用”的判断带来了新的思路，为审理同类案件提供了有益的参考。</w:t>
      </w:r>
    </w:p>
    <w:p w:rsidR="004F78FA" w:rsidRPr="00951B91" w:rsidRDefault="004F78FA" w:rsidP="004F78FA">
      <w:pPr>
        <w:adjustRightInd w:val="0"/>
        <w:snapToGrid w:val="0"/>
        <w:spacing w:line="480" w:lineRule="exact"/>
        <w:ind w:firstLine="560"/>
        <w:rPr>
          <w:rFonts w:ascii="仿宋" w:eastAsia="仿宋" w:hAnsi="仿宋"/>
          <w:color w:val="000000"/>
          <w:sz w:val="28"/>
          <w:szCs w:val="28"/>
        </w:rPr>
      </w:pPr>
      <w:r>
        <w:rPr>
          <w:rFonts w:ascii="仿宋" w:eastAsia="仿宋" w:hAnsi="仿宋" w:hint="eastAsia"/>
          <w:sz w:val="28"/>
          <w:szCs w:val="28"/>
        </w:rPr>
        <w:t>（点评人：王迁，华东政法大学教授、</w:t>
      </w:r>
      <w:r w:rsidRPr="00951B91">
        <w:rPr>
          <w:rFonts w:ascii="仿宋" w:eastAsia="仿宋" w:hAnsi="仿宋" w:hint="eastAsia"/>
          <w:sz w:val="28"/>
          <w:szCs w:val="28"/>
        </w:rPr>
        <w:t>博士生导师</w:t>
      </w:r>
      <w:r>
        <w:rPr>
          <w:rFonts w:ascii="仿宋" w:eastAsia="仿宋" w:hAnsi="仿宋" w:hint="eastAsia"/>
          <w:sz w:val="28"/>
          <w:szCs w:val="28"/>
        </w:rPr>
        <w:t>）</w:t>
      </w:r>
    </w:p>
    <w:p w:rsidR="004F78FA" w:rsidRPr="00A82EF6" w:rsidRDefault="004F78FA" w:rsidP="004F78FA">
      <w:pPr>
        <w:spacing w:line="480" w:lineRule="exact"/>
        <w:ind w:firstLine="560"/>
        <w:jc w:val="left"/>
        <w:rPr>
          <w:rFonts w:hAnsi="宋体" w:cs="宋体"/>
          <w:sz w:val="28"/>
          <w:szCs w:val="28"/>
        </w:rPr>
      </w:pPr>
    </w:p>
    <w:p w:rsidR="004F78FA" w:rsidRDefault="004F78FA">
      <w:pPr>
        <w:widowControl/>
        <w:spacing w:line="240" w:lineRule="auto"/>
        <w:ind w:firstLineChars="0" w:firstLine="0"/>
        <w:jc w:val="left"/>
      </w:pPr>
      <w:r>
        <w:br w:type="page"/>
      </w:r>
    </w:p>
    <w:p w:rsidR="004F78FA" w:rsidRPr="00F972CC" w:rsidRDefault="004F78FA" w:rsidP="004F78FA">
      <w:pPr>
        <w:spacing w:line="480" w:lineRule="exact"/>
        <w:ind w:firstLine="562"/>
        <w:jc w:val="center"/>
        <w:rPr>
          <w:rFonts w:ascii="仿宋" w:eastAsia="仿宋" w:hAnsi="仿宋" w:cs="仿宋"/>
          <w:b/>
          <w:sz w:val="28"/>
          <w:szCs w:val="28"/>
        </w:rPr>
      </w:pPr>
      <w:r w:rsidRPr="00F972CC">
        <w:rPr>
          <w:rFonts w:ascii="仿宋" w:eastAsia="仿宋" w:hAnsi="仿宋" w:cs="仿宋" w:hint="eastAsia"/>
          <w:b/>
          <w:sz w:val="28"/>
          <w:szCs w:val="28"/>
        </w:rPr>
        <w:lastRenderedPageBreak/>
        <w:t>在先权利抗辩的审查标准</w:t>
      </w:r>
    </w:p>
    <w:p w:rsidR="004F78FA" w:rsidRPr="00F972CC" w:rsidRDefault="004F78FA" w:rsidP="004F78FA">
      <w:pPr>
        <w:spacing w:line="480" w:lineRule="exact"/>
        <w:ind w:firstLine="560"/>
        <w:jc w:val="center"/>
        <w:rPr>
          <w:rFonts w:ascii="仿宋" w:eastAsia="仿宋" w:hAnsi="仿宋" w:cs="仿宋"/>
          <w:sz w:val="28"/>
          <w:szCs w:val="28"/>
        </w:rPr>
      </w:pPr>
      <w:r w:rsidRPr="00F972CC">
        <w:rPr>
          <w:rFonts w:ascii="仿宋" w:eastAsia="仿宋" w:hAnsi="仿宋" w:cs="仿宋" w:hint="eastAsia"/>
          <w:sz w:val="28"/>
          <w:szCs w:val="28"/>
        </w:rPr>
        <w:t>——涉维多利亚秘密公司商标侵权纠纷案</w:t>
      </w:r>
    </w:p>
    <w:p w:rsidR="00FF7D45" w:rsidRDefault="00FF7D45" w:rsidP="004F78FA">
      <w:pPr>
        <w:adjustRightInd w:val="0"/>
        <w:snapToGrid w:val="0"/>
        <w:spacing w:line="480" w:lineRule="exact"/>
        <w:ind w:firstLine="562"/>
        <w:jc w:val="left"/>
        <w:rPr>
          <w:rFonts w:ascii="仿宋" w:eastAsia="仿宋" w:hAnsi="仿宋" w:cs="仿宋"/>
          <w:b/>
          <w:sz w:val="28"/>
          <w:szCs w:val="28"/>
        </w:rPr>
      </w:pPr>
    </w:p>
    <w:p w:rsidR="004F78FA" w:rsidRPr="00F972CC" w:rsidRDefault="004F78FA" w:rsidP="004F78FA">
      <w:pPr>
        <w:adjustRightInd w:val="0"/>
        <w:snapToGrid w:val="0"/>
        <w:spacing w:line="480" w:lineRule="exact"/>
        <w:ind w:firstLine="562"/>
        <w:jc w:val="left"/>
        <w:rPr>
          <w:rFonts w:ascii="仿宋" w:eastAsia="仿宋" w:hAnsi="仿宋" w:cs="仿宋"/>
          <w:b/>
          <w:sz w:val="28"/>
          <w:szCs w:val="28"/>
        </w:rPr>
      </w:pPr>
      <w:r w:rsidRPr="00F972CC">
        <w:rPr>
          <w:rFonts w:ascii="仿宋" w:eastAsia="仿宋" w:hAnsi="仿宋" w:cs="仿宋" w:hint="eastAsia"/>
          <w:b/>
          <w:sz w:val="28"/>
          <w:szCs w:val="28"/>
        </w:rPr>
        <w:t>案情简介：</w:t>
      </w:r>
    </w:p>
    <w:p w:rsidR="004F78FA" w:rsidRPr="00F972CC" w:rsidRDefault="004F78FA" w:rsidP="004F78FA">
      <w:pPr>
        <w:spacing w:line="480" w:lineRule="exact"/>
        <w:ind w:firstLineChars="198" w:firstLine="554"/>
        <w:rPr>
          <w:rFonts w:ascii="仿宋" w:eastAsia="仿宋" w:hAnsi="仿宋" w:cs="仿宋"/>
          <w:sz w:val="28"/>
          <w:szCs w:val="28"/>
        </w:rPr>
      </w:pPr>
      <w:r w:rsidRPr="00F972CC">
        <w:rPr>
          <w:rFonts w:ascii="仿宋" w:eastAsia="仿宋" w:hAnsi="仿宋" w:cs="仿宋" w:hint="eastAsia"/>
          <w:sz w:val="28"/>
          <w:szCs w:val="28"/>
        </w:rPr>
        <w:t>庆鹏公司经批准获得“Secret charm”的注册商标专用权后，将该商标授权原告斯科塞斯公司进行品牌管理和维护。原告发现被告吉诗美公司在上海来福士商场销售来源于被告万事达公司进口的标有“SECRET  CHARM”标识的“维多利亚的秘密”的化妆品。原告认为，两被告进口、销售的涉案商品上使用的“SECRET  CHARM”标识与涉案商标“Secret charm”相比，仅存在字母大小写的区别，构成商标相同，两被告的行为共同构成商标侵权。诉请要求两被告停止侵权并赔偿损失。两被告针对原告的诉讼主张提出了在先权利的正当使用、非商标性使用、不构成混淆、合法来源等多方面的抗辩意见。针对在先权利抗辩，两被告认为，涉案化妆品的生产商</w:t>
      </w:r>
      <w:r w:rsidR="008830BB" w:rsidRPr="008830BB">
        <w:rPr>
          <w:rFonts w:ascii="仿宋" w:eastAsia="仿宋" w:hAnsi="仿宋" w:cs="仿宋" w:hint="eastAsia"/>
          <w:sz w:val="28"/>
          <w:szCs w:val="28"/>
        </w:rPr>
        <w:t>维多利亚的秘密商店品牌管理公司（Victoria</w:t>
      </w:r>
      <w:r w:rsidR="008830BB" w:rsidRPr="008830BB">
        <w:rPr>
          <w:rFonts w:ascii="仿宋" w:eastAsia="仿宋" w:hAnsi="仿宋" w:cs="仿宋"/>
          <w:sz w:val="28"/>
          <w:szCs w:val="28"/>
        </w:rPr>
        <w:t>'</w:t>
      </w:r>
      <w:r w:rsidR="008830BB" w:rsidRPr="008830BB">
        <w:rPr>
          <w:rFonts w:ascii="仿宋" w:eastAsia="仿宋" w:hAnsi="仿宋" w:cs="仿宋" w:hint="eastAsia"/>
          <w:sz w:val="28"/>
          <w:szCs w:val="28"/>
        </w:rPr>
        <w:t>s</w:t>
      </w:r>
      <w:r w:rsidR="00B41349">
        <w:rPr>
          <w:rFonts w:ascii="仿宋" w:eastAsia="仿宋" w:hAnsi="仿宋" w:cs="仿宋" w:hint="eastAsia"/>
          <w:sz w:val="28"/>
          <w:szCs w:val="28"/>
        </w:rPr>
        <w:t xml:space="preserve"> Secret Stores Brand Management, </w:t>
      </w:r>
      <w:r w:rsidR="008830BB" w:rsidRPr="008830BB">
        <w:rPr>
          <w:rFonts w:ascii="仿宋" w:eastAsia="仿宋" w:hAnsi="仿宋" w:cs="仿宋" w:hint="eastAsia"/>
          <w:sz w:val="28"/>
          <w:szCs w:val="28"/>
        </w:rPr>
        <w:t>Inc.，以下简称维密公司）</w:t>
      </w:r>
      <w:r w:rsidRPr="00F972CC">
        <w:rPr>
          <w:rFonts w:ascii="仿宋" w:eastAsia="仿宋" w:hAnsi="仿宋" w:cs="仿宋" w:hint="eastAsia"/>
          <w:sz w:val="28"/>
          <w:szCs w:val="28"/>
        </w:rPr>
        <w:t>对于包含“SECRET CHARM”在内的产品包装美术设计享有在先的著作权，系对在先合法权利的正当使用，并未侵犯“Secret charm”的注册商标专用权。</w:t>
      </w:r>
    </w:p>
    <w:p w:rsidR="00FF7D45" w:rsidRDefault="00FF7D45" w:rsidP="004F78FA">
      <w:pPr>
        <w:spacing w:line="480" w:lineRule="exact"/>
        <w:ind w:firstLineChars="198" w:firstLine="557"/>
        <w:rPr>
          <w:rFonts w:ascii="仿宋" w:eastAsia="仿宋" w:hAnsi="仿宋" w:cs="仿宋"/>
          <w:b/>
          <w:sz w:val="28"/>
          <w:szCs w:val="28"/>
        </w:rPr>
      </w:pPr>
    </w:p>
    <w:p w:rsidR="004F78FA" w:rsidRPr="00F972CC" w:rsidRDefault="004F78FA" w:rsidP="004F78FA">
      <w:pPr>
        <w:spacing w:line="480" w:lineRule="exact"/>
        <w:ind w:firstLineChars="198" w:firstLine="557"/>
        <w:rPr>
          <w:rFonts w:ascii="仿宋" w:eastAsia="仿宋" w:hAnsi="仿宋" w:cs="仿宋"/>
          <w:b/>
          <w:sz w:val="28"/>
          <w:szCs w:val="28"/>
        </w:rPr>
      </w:pPr>
      <w:r w:rsidRPr="00F972CC">
        <w:rPr>
          <w:rFonts w:ascii="仿宋" w:eastAsia="仿宋" w:hAnsi="仿宋" w:cs="仿宋" w:hint="eastAsia"/>
          <w:b/>
          <w:sz w:val="28"/>
          <w:szCs w:val="28"/>
        </w:rPr>
        <w:t>裁判理由：</w:t>
      </w:r>
    </w:p>
    <w:p w:rsidR="004F78FA" w:rsidRPr="00F972CC" w:rsidRDefault="004F78FA" w:rsidP="004F78FA">
      <w:pPr>
        <w:spacing w:line="480" w:lineRule="exact"/>
        <w:ind w:firstLineChars="198" w:firstLine="554"/>
        <w:rPr>
          <w:rFonts w:ascii="仿宋" w:eastAsia="仿宋" w:hAnsi="仿宋" w:cs="仿宋"/>
          <w:sz w:val="28"/>
          <w:szCs w:val="28"/>
        </w:rPr>
      </w:pPr>
      <w:r w:rsidRPr="00F972CC">
        <w:rPr>
          <w:rFonts w:ascii="仿宋" w:eastAsia="仿宋" w:hAnsi="仿宋" w:cs="仿宋" w:hint="eastAsia"/>
          <w:sz w:val="28"/>
          <w:szCs w:val="28"/>
        </w:rPr>
        <w:t>法院认为，在先权利的认定需要考虑是否拥有合法的在先权利基础；基于合法的权利基础，使用方式和行为性质是否具有正当性。商标法规定的“申请商标注册不得损害他人现有的在先权利”，不仅是对申请注册商标所提的要求，也赋予了在先权利人的抗辩权。商标法虽未对“在先权利”的种类予以界定，但从法理和司法实践来看，应包括外观设计专利权、著作权、企业名称权</w:t>
      </w:r>
      <w:r w:rsidR="00B06101">
        <w:rPr>
          <w:rFonts w:ascii="仿宋" w:eastAsia="仿宋" w:hAnsi="仿宋" w:cs="仿宋" w:hint="eastAsia"/>
          <w:sz w:val="28"/>
          <w:szCs w:val="28"/>
        </w:rPr>
        <w:t>、姓名权</w:t>
      </w:r>
      <w:r w:rsidRPr="00F972CC">
        <w:rPr>
          <w:rFonts w:ascii="仿宋" w:eastAsia="仿宋" w:hAnsi="仿宋" w:cs="仿宋" w:hint="eastAsia"/>
          <w:sz w:val="28"/>
          <w:szCs w:val="28"/>
        </w:rPr>
        <w:t>等。本案两被告提出的“在先权利”抗辩实质上就是对于包含“SECRET CHARM”在内的产品包装美术设计所享有的在先著作权抗辩。由于中美均为《保护文学和艺术作品伯尔尼公约》成员国，维密公司作为一家在美国创设</w:t>
      </w:r>
      <w:r w:rsidRPr="00F972CC">
        <w:rPr>
          <w:rFonts w:ascii="仿宋" w:eastAsia="仿宋" w:hAnsi="仿宋" w:cs="仿宋" w:hint="eastAsia"/>
          <w:sz w:val="28"/>
          <w:szCs w:val="28"/>
        </w:rPr>
        <w:lastRenderedPageBreak/>
        <w:t>的企业，其所创作的作品受到我国著作权法保护。且根据他院已生效判决，维密公司创作使用在先，庆鹏公司申请注册商标在后。因此两被告拥有合法的在先权利基础。涉案产品只在维密专卖店内进行销售，产品上完整使用了维密公司拥有著作权的“Secret Charm产品包装设计”美术作品，且清晰标注了主商标，不会造成消费者混淆误认。因此，维密公司的使用方式和行为性质具有正当性。此外，原告及其关联公司在2001至2016年间大量申请注册包括“维多密码”、“Victoria's code”等商标，在文字组成、呼叫等方面与维密公司系列品牌相同或近似。原告无法对此作出合理解释，其行为亦难谓善意。根据诚实信用、维护公平竞争和保护在先权利等处理原则，两被告的在先权利抗辩成立，其进口、销售维密公司使用上述美术作品包装的商品不构成对原告主张的“Secret charm”注册商标专用权的侵犯，故判决驳回原告所有诉讼请求。</w:t>
      </w:r>
    </w:p>
    <w:p w:rsidR="00FF7D45" w:rsidRDefault="00FF7D45" w:rsidP="004F78FA">
      <w:pPr>
        <w:spacing w:line="480" w:lineRule="exact"/>
        <w:ind w:firstLineChars="198" w:firstLine="557"/>
        <w:rPr>
          <w:rFonts w:ascii="仿宋" w:eastAsia="仿宋" w:hAnsi="仿宋" w:cs="仿宋"/>
          <w:b/>
          <w:sz w:val="28"/>
          <w:szCs w:val="28"/>
        </w:rPr>
      </w:pPr>
    </w:p>
    <w:p w:rsidR="004F78FA" w:rsidRPr="00F972CC" w:rsidRDefault="004F78FA" w:rsidP="004F78FA">
      <w:pPr>
        <w:spacing w:line="480" w:lineRule="exact"/>
        <w:ind w:firstLineChars="198" w:firstLine="557"/>
        <w:rPr>
          <w:rFonts w:ascii="仿宋" w:eastAsia="仿宋" w:hAnsi="仿宋" w:cs="仿宋"/>
          <w:b/>
          <w:sz w:val="28"/>
          <w:szCs w:val="28"/>
        </w:rPr>
      </w:pPr>
      <w:r w:rsidRPr="00F972CC">
        <w:rPr>
          <w:rFonts w:ascii="仿宋" w:eastAsia="仿宋" w:hAnsi="仿宋" w:cs="仿宋" w:hint="eastAsia"/>
          <w:b/>
          <w:sz w:val="28"/>
          <w:szCs w:val="28"/>
        </w:rPr>
        <w:t>专家点评：</w:t>
      </w:r>
    </w:p>
    <w:p w:rsidR="004F78FA" w:rsidRPr="00F972CC" w:rsidRDefault="004F78FA" w:rsidP="004F78FA">
      <w:pPr>
        <w:spacing w:line="480" w:lineRule="exact"/>
        <w:ind w:firstLine="560"/>
        <w:rPr>
          <w:rFonts w:ascii="仿宋" w:eastAsia="仿宋" w:hAnsi="仿宋" w:cs="仿宋"/>
          <w:sz w:val="28"/>
          <w:szCs w:val="28"/>
        </w:rPr>
      </w:pPr>
      <w:r w:rsidRPr="00F972CC">
        <w:rPr>
          <w:rFonts w:ascii="仿宋" w:eastAsia="仿宋" w:hAnsi="仿宋" w:cs="仿宋" w:hint="eastAsia"/>
          <w:sz w:val="28"/>
          <w:szCs w:val="28"/>
        </w:rPr>
        <w:t>长期以来，我国存在着大量商标申请人，其使用他人具有在先权利的作品、外观设计、姓名、商号、知名名称包装装潢等进行商标注册，并以注册商标向在先权利人主张商标专用权。为规制这一类商标抢注行为，我国《商标法》在商标申请审查、异议和无效（撤销）等行政确权程序中作出了明确规定，“申请注册的商标，不得与他人在先取得的合法权利相冲突”（第9条），“申请商标注册不得损害他人现有的在先权利”（第32条），2019年修改商标法增加规定了“不以使用为目的的恶意商标注册申请，应当予以驳回”（第4条）。这些规定的确能从商标注册申请的源头上遏制商标抢注行为，但对以与在先权利冲突的注册商标为权利基础提起的侵权诉讼，被告能否主张在先权利抗辩，商标法并未作出明确规定（我国商标法中仅作出了正当使用抗辩和先用权抗辩）。显然，与在先权利冲突的注册商标，不仅在申请行为上违背诚实信用原则，而且在使用行为上也同样违背诚实信用原则，应当予以规制。</w:t>
      </w:r>
    </w:p>
    <w:p w:rsidR="004F78FA" w:rsidRPr="00F972CC" w:rsidRDefault="004F78FA" w:rsidP="004F78FA">
      <w:pPr>
        <w:spacing w:line="480" w:lineRule="exact"/>
        <w:ind w:firstLine="560"/>
        <w:rPr>
          <w:rFonts w:ascii="仿宋" w:eastAsia="仿宋" w:hAnsi="仿宋" w:cs="仿宋"/>
          <w:sz w:val="28"/>
          <w:szCs w:val="28"/>
        </w:rPr>
      </w:pPr>
      <w:r w:rsidRPr="00F972CC">
        <w:rPr>
          <w:rFonts w:ascii="仿宋" w:eastAsia="仿宋" w:hAnsi="仿宋" w:cs="仿宋" w:hint="eastAsia"/>
          <w:sz w:val="28"/>
          <w:szCs w:val="28"/>
        </w:rPr>
        <w:lastRenderedPageBreak/>
        <w:t>本案就是一件典型的与在先著作权冲突的注册商标侵权诉讼案。首先，法院基于诚实信用原则，认为“商标法规定的‘申请商标注册不得损害他人现有的在先权利’，不仅是对申请注册商标所提的要求，也赋予了在先权利人的抗辩权”，明确了在先权利抗辩在商标侵权诉讼中的适用。其次，法院明确了在先权利抗辩的司法审查考量因素，包括在先权利基础的合法性、使用方式和行为性质的正当性以及注册商标申请的主观状态。本案对在先权利抗辩的适用及其考量因素的明确，对于规制商标权利冲突，特别是遏制不以使用为目的的恶意商标注册具有较大司法政策价值，对在先权利抗辩的司法认定与审理具有借鉴意义。</w:t>
      </w:r>
    </w:p>
    <w:p w:rsidR="004F78FA" w:rsidRPr="00F972CC" w:rsidRDefault="004F78FA" w:rsidP="004F78FA">
      <w:pPr>
        <w:spacing w:line="480" w:lineRule="exact"/>
        <w:ind w:firstLineChars="198" w:firstLine="554"/>
        <w:rPr>
          <w:rFonts w:ascii="仿宋" w:eastAsia="仿宋" w:hAnsi="仿宋" w:cs="仿宋"/>
          <w:sz w:val="28"/>
          <w:szCs w:val="28"/>
        </w:rPr>
      </w:pPr>
      <w:r w:rsidRPr="00F972CC">
        <w:rPr>
          <w:rFonts w:ascii="仿宋" w:eastAsia="仿宋" w:hAnsi="仿宋" w:cs="仿宋" w:hint="eastAsia"/>
          <w:sz w:val="28"/>
          <w:szCs w:val="28"/>
        </w:rPr>
        <w:t>（点评人：许春明，教授、博士生导师，上海大学法学院副院长兼知识产权学院院长）</w:t>
      </w:r>
    </w:p>
    <w:p w:rsidR="004F78FA" w:rsidRDefault="004F78FA">
      <w:pPr>
        <w:widowControl/>
        <w:spacing w:line="240" w:lineRule="auto"/>
        <w:ind w:firstLineChars="0" w:firstLine="0"/>
        <w:jc w:val="left"/>
      </w:pPr>
      <w:r>
        <w:br w:type="page"/>
      </w:r>
    </w:p>
    <w:p w:rsidR="004F78FA" w:rsidRPr="00E67344" w:rsidRDefault="004F78FA" w:rsidP="004F78FA">
      <w:pPr>
        <w:adjustRightInd w:val="0"/>
        <w:snapToGrid w:val="0"/>
        <w:spacing w:line="480" w:lineRule="exact"/>
        <w:ind w:firstLine="562"/>
        <w:jc w:val="center"/>
        <w:rPr>
          <w:rFonts w:ascii="仿宋" w:eastAsia="仿宋" w:hAnsi="仿宋" w:cs="宋体"/>
          <w:b/>
          <w:color w:val="000000"/>
          <w:kern w:val="0"/>
          <w:sz w:val="28"/>
          <w:szCs w:val="28"/>
        </w:rPr>
      </w:pPr>
      <w:r w:rsidRPr="00E67344">
        <w:rPr>
          <w:rFonts w:ascii="仿宋" w:eastAsia="仿宋" w:hAnsi="仿宋" w:cs="宋体" w:hint="eastAsia"/>
          <w:b/>
          <w:color w:val="000000"/>
          <w:kern w:val="0"/>
          <w:sz w:val="28"/>
          <w:szCs w:val="28"/>
        </w:rPr>
        <w:lastRenderedPageBreak/>
        <w:t>被授权人超出授权出版发行构成侵犯复制权、发行权</w:t>
      </w:r>
    </w:p>
    <w:p w:rsidR="004F78FA" w:rsidRPr="00E67344" w:rsidRDefault="004F78FA" w:rsidP="004F78FA">
      <w:pPr>
        <w:adjustRightInd w:val="0"/>
        <w:snapToGrid w:val="0"/>
        <w:spacing w:line="480" w:lineRule="exact"/>
        <w:ind w:firstLine="538"/>
        <w:jc w:val="center"/>
        <w:rPr>
          <w:rFonts w:ascii="仿宋" w:eastAsia="仿宋" w:hAnsi="仿宋" w:cs="宋体"/>
          <w:b/>
          <w:bCs/>
          <w:spacing w:val="-6"/>
          <w:sz w:val="28"/>
          <w:szCs w:val="28"/>
        </w:rPr>
      </w:pPr>
      <w:r w:rsidRPr="00E67344">
        <w:rPr>
          <w:rFonts w:ascii="仿宋" w:eastAsia="仿宋" w:hAnsi="仿宋" w:cs="宋体" w:hint="eastAsia"/>
          <w:b/>
          <w:bCs/>
          <w:spacing w:val="-6"/>
          <w:sz w:val="28"/>
          <w:szCs w:val="28"/>
        </w:rPr>
        <w:t>——</w:t>
      </w:r>
      <w:r w:rsidRPr="00E67344">
        <w:rPr>
          <w:rFonts w:ascii="仿宋" w:eastAsia="仿宋" w:hAnsi="仿宋" w:cs="宋体" w:hint="eastAsia"/>
          <w:color w:val="000000"/>
          <w:kern w:val="0"/>
          <w:sz w:val="28"/>
          <w:szCs w:val="28"/>
        </w:rPr>
        <w:t>叶肇鑫与湖南音像出版社等著作权侵权纠纷案</w:t>
      </w:r>
    </w:p>
    <w:p w:rsidR="00FF7D45" w:rsidRDefault="00FF7D45" w:rsidP="004F78FA">
      <w:pPr>
        <w:adjustRightInd w:val="0"/>
        <w:snapToGrid w:val="0"/>
        <w:spacing w:line="480" w:lineRule="exact"/>
        <w:ind w:firstLine="562"/>
        <w:rPr>
          <w:rFonts w:ascii="仿宋" w:eastAsia="仿宋" w:hAnsi="仿宋" w:cs="宋体"/>
          <w:b/>
          <w:color w:val="000000"/>
          <w:kern w:val="0"/>
          <w:sz w:val="28"/>
          <w:szCs w:val="28"/>
        </w:rPr>
      </w:pPr>
    </w:p>
    <w:p w:rsidR="004F78FA" w:rsidRPr="00E67344" w:rsidRDefault="004F78FA" w:rsidP="004F78FA">
      <w:pPr>
        <w:adjustRightInd w:val="0"/>
        <w:snapToGrid w:val="0"/>
        <w:spacing w:line="480" w:lineRule="exact"/>
        <w:ind w:firstLine="562"/>
        <w:rPr>
          <w:rFonts w:ascii="仿宋" w:eastAsia="仿宋" w:hAnsi="仿宋" w:cs="宋体"/>
          <w:b/>
          <w:color w:val="000000"/>
          <w:kern w:val="0"/>
          <w:sz w:val="28"/>
          <w:szCs w:val="28"/>
        </w:rPr>
      </w:pPr>
      <w:r w:rsidRPr="00E67344">
        <w:rPr>
          <w:rFonts w:ascii="仿宋" w:eastAsia="仿宋" w:hAnsi="仿宋" w:cs="宋体" w:hint="eastAsia"/>
          <w:b/>
          <w:color w:val="000000"/>
          <w:kern w:val="0"/>
          <w:sz w:val="28"/>
          <w:szCs w:val="28"/>
        </w:rPr>
        <w:t>案情简介：</w:t>
      </w:r>
    </w:p>
    <w:p w:rsidR="004F78FA" w:rsidRPr="00E67344" w:rsidRDefault="004F78FA" w:rsidP="004F78FA">
      <w:pPr>
        <w:adjustRightInd w:val="0"/>
        <w:snapToGrid w:val="0"/>
        <w:spacing w:line="480" w:lineRule="exact"/>
        <w:ind w:firstLine="560"/>
        <w:rPr>
          <w:rFonts w:ascii="仿宋" w:eastAsia="仿宋" w:hAnsi="仿宋" w:cs="宋体"/>
          <w:color w:val="000000"/>
          <w:sz w:val="28"/>
          <w:szCs w:val="28"/>
        </w:rPr>
      </w:pPr>
      <w:r w:rsidRPr="00E67344">
        <w:rPr>
          <w:rFonts w:ascii="仿宋" w:eastAsia="仿宋" w:hAnsi="仿宋" w:cs="宋体" w:hint="eastAsia"/>
          <w:color w:val="000000"/>
          <w:sz w:val="28"/>
          <w:szCs w:val="28"/>
        </w:rPr>
        <w:t>原告叶肇鑫经长期构思创作完成以“细说昆曲”为主题的昆曲艺术讲解纪录片《昆曲百种 大师说戏》</w:t>
      </w:r>
      <w:r w:rsidR="00B06101">
        <w:rPr>
          <w:rFonts w:ascii="仿宋" w:eastAsia="仿宋" w:hAnsi="仿宋" w:cs="宋体" w:hint="eastAsia"/>
          <w:color w:val="000000"/>
          <w:sz w:val="28"/>
          <w:szCs w:val="28"/>
        </w:rPr>
        <w:t>。</w:t>
      </w:r>
      <w:r w:rsidRPr="00E67344">
        <w:rPr>
          <w:rFonts w:ascii="仿宋" w:eastAsia="仿宋" w:hAnsi="仿宋" w:cs="宋体" w:hint="eastAsia"/>
          <w:color w:val="000000"/>
          <w:sz w:val="28"/>
          <w:szCs w:val="28"/>
        </w:rPr>
        <w:t>后又以该纪录片为蓝本，改编五辑配套图书《说戏》。原告以自费出版的方式，与被告浦睿公司签订《出版协议》，约定由浦睿公司负责《说戏》图书的出版和发行等工作，并约定图书上需标注“岳麓书社”字样</w:t>
      </w:r>
      <w:r w:rsidR="00B06101">
        <w:rPr>
          <w:rFonts w:ascii="仿宋" w:eastAsia="仿宋" w:hAnsi="仿宋" w:cs="宋体" w:hint="eastAsia"/>
          <w:color w:val="000000"/>
          <w:sz w:val="28"/>
          <w:szCs w:val="28"/>
        </w:rPr>
        <w:t>。</w:t>
      </w:r>
      <w:r w:rsidRPr="00E67344">
        <w:rPr>
          <w:rFonts w:ascii="仿宋" w:eastAsia="仿宋" w:hAnsi="仿宋" w:cs="宋体" w:hint="eastAsia"/>
          <w:color w:val="000000"/>
          <w:sz w:val="28"/>
          <w:szCs w:val="28"/>
        </w:rPr>
        <w:t>后通过全球预定模式，浦睿公司委托被告湖南音像出版社出版发行图书共计1300余套。之后</w:t>
      </w:r>
      <w:r w:rsidR="00B06101">
        <w:rPr>
          <w:rFonts w:ascii="仿宋" w:eastAsia="仿宋" w:hAnsi="仿宋" w:cs="宋体" w:hint="eastAsia"/>
          <w:color w:val="000000"/>
          <w:sz w:val="28"/>
          <w:szCs w:val="28"/>
        </w:rPr>
        <w:t>，</w:t>
      </w:r>
      <w:r w:rsidRPr="00E67344">
        <w:rPr>
          <w:rFonts w:ascii="仿宋" w:eastAsia="仿宋" w:hAnsi="仿宋" w:cs="宋体" w:hint="eastAsia"/>
          <w:color w:val="000000"/>
          <w:sz w:val="28"/>
          <w:szCs w:val="28"/>
        </w:rPr>
        <w:t>原告在湖南音像出版社淘宝店中购得一套简版《说戏》，该套产品封面处多了“国家出版基金项目”标识，署名的出版社少了“岳麓书社”。原告认为，湖南音像出版社未经原告许可，超出原限定发行数量，擅自再版、发行《戏说》产品，构成侵害作品复制权、发行权。浦睿公司作为原告出版发行事务的受托人，系侵权行为的共同实施者，应承担连带侵权责任。诉请要求确认被告的行为构成著作权侵权并需赔礼道歉。</w:t>
      </w:r>
    </w:p>
    <w:p w:rsidR="00FF7D45" w:rsidRDefault="00FF7D45" w:rsidP="004F78FA">
      <w:pPr>
        <w:adjustRightInd w:val="0"/>
        <w:snapToGrid w:val="0"/>
        <w:spacing w:line="480" w:lineRule="exact"/>
        <w:ind w:firstLine="562"/>
        <w:rPr>
          <w:rFonts w:ascii="仿宋" w:eastAsia="仿宋" w:hAnsi="仿宋" w:cs="宋体"/>
          <w:b/>
          <w:color w:val="000000"/>
          <w:kern w:val="0"/>
          <w:sz w:val="28"/>
          <w:szCs w:val="28"/>
        </w:rPr>
      </w:pPr>
    </w:p>
    <w:p w:rsidR="004F78FA" w:rsidRPr="00E67344" w:rsidRDefault="004F78FA" w:rsidP="004F78FA">
      <w:pPr>
        <w:adjustRightInd w:val="0"/>
        <w:snapToGrid w:val="0"/>
        <w:spacing w:line="480" w:lineRule="exact"/>
        <w:ind w:firstLine="562"/>
        <w:rPr>
          <w:rFonts w:ascii="仿宋" w:eastAsia="仿宋" w:hAnsi="仿宋" w:cs="宋体"/>
          <w:b/>
          <w:color w:val="000000"/>
          <w:kern w:val="0"/>
          <w:sz w:val="28"/>
          <w:szCs w:val="28"/>
        </w:rPr>
      </w:pPr>
      <w:r w:rsidRPr="00E67344">
        <w:rPr>
          <w:rFonts w:ascii="仿宋" w:eastAsia="仿宋" w:hAnsi="仿宋" w:cs="宋体" w:hint="eastAsia"/>
          <w:b/>
          <w:color w:val="000000"/>
          <w:kern w:val="0"/>
          <w:sz w:val="28"/>
          <w:szCs w:val="28"/>
        </w:rPr>
        <w:t>裁判理由：</w:t>
      </w:r>
    </w:p>
    <w:p w:rsidR="004F78FA" w:rsidRPr="00E67344" w:rsidRDefault="004F78FA" w:rsidP="004F78FA">
      <w:pPr>
        <w:adjustRightInd w:val="0"/>
        <w:snapToGrid w:val="0"/>
        <w:spacing w:line="480" w:lineRule="exact"/>
        <w:ind w:firstLine="560"/>
        <w:rPr>
          <w:rFonts w:ascii="仿宋" w:eastAsia="仿宋" w:hAnsi="仿宋" w:cs="宋体"/>
          <w:color w:val="000000"/>
          <w:sz w:val="28"/>
          <w:szCs w:val="28"/>
        </w:rPr>
      </w:pPr>
      <w:r w:rsidRPr="00E67344">
        <w:rPr>
          <w:rFonts w:ascii="仿宋" w:eastAsia="仿宋" w:hAnsi="仿宋" w:cs="宋体" w:hint="eastAsia"/>
          <w:color w:val="000000"/>
          <w:sz w:val="28"/>
          <w:szCs w:val="28"/>
        </w:rPr>
        <w:t>法院认为，从涉案作品的署名及合同履行相关情况来看，原告就作品享有著作权。原告通过授权链委托被告进行出版发行事宜，行使复制权、发行权。根据原告与被告浦睿公司的约定，原告系自费出版，有权限定涉案图书数量，实际发行采用预购方式。尽管合同设定有期限，期间未以书面方式明确发行总数，且在结算中使用了阶段性财务决算的表述，具一定模糊性</w:t>
      </w:r>
      <w:r>
        <w:rPr>
          <w:rFonts w:ascii="仿宋" w:eastAsia="仿宋" w:hAnsi="仿宋" w:cs="宋体" w:hint="eastAsia"/>
          <w:color w:val="000000"/>
          <w:sz w:val="28"/>
          <w:szCs w:val="28"/>
        </w:rPr>
        <w:t>。</w:t>
      </w:r>
      <w:r w:rsidRPr="00E67344">
        <w:rPr>
          <w:rFonts w:ascii="仿宋" w:eastAsia="仿宋" w:hAnsi="仿宋" w:cs="宋体" w:hint="eastAsia"/>
          <w:color w:val="000000"/>
          <w:sz w:val="28"/>
          <w:szCs w:val="28"/>
        </w:rPr>
        <w:t>但结合合同履行过程中的发行指南、日程表安排等，已表明发行数量以预购截止为准</w:t>
      </w:r>
      <w:r w:rsidR="00B06101">
        <w:rPr>
          <w:rFonts w:ascii="仿宋" w:eastAsia="仿宋" w:hAnsi="仿宋" w:cs="宋体" w:hint="eastAsia"/>
          <w:color w:val="000000"/>
          <w:sz w:val="28"/>
          <w:szCs w:val="28"/>
        </w:rPr>
        <w:t>；</w:t>
      </w:r>
      <w:r w:rsidRPr="00E67344">
        <w:rPr>
          <w:rFonts w:ascii="仿宋" w:eastAsia="仿宋" w:hAnsi="仿宋" w:cs="宋体" w:hint="eastAsia"/>
          <w:color w:val="000000"/>
          <w:sz w:val="28"/>
          <w:szCs w:val="28"/>
        </w:rPr>
        <w:t>且双方已通过决算纪要的形式，就发行销售全部完毕，并无库存进行了明确，可以认定原告以预购截止的方式限定了出版发行的图书数量。出版单位超出合同授权范围擅自出版发行的，构成对著作权人复制权、发行权的侵犯。</w:t>
      </w:r>
      <w:r w:rsidRPr="00E67344">
        <w:rPr>
          <w:rFonts w:ascii="仿宋" w:eastAsia="仿宋" w:hAnsi="仿宋" w:cs="宋体" w:hint="eastAsia"/>
          <w:color w:val="000000"/>
          <w:sz w:val="28"/>
          <w:szCs w:val="28"/>
        </w:rPr>
        <w:lastRenderedPageBreak/>
        <w:t>被告湖南音像出版社作为出版机构，明知被告浦睿公司仅为转授权人，却未对著作权人与转授权人间的权利约定尽审慎注意义务，仍超越合同授权权限，自行加印并再版发行涉案图书，侵犯原告著作权。被告浦睿公司在转授权后，实际全面参与预购发行、版权基金申报等工作，其未对湖南音像出版社是否按约履行合同进行合理的、基本的提示和督促，作为利益共享方与湖南音像出版社构成共同侵权。据此，认定浦睿公司、湖南音像出版社构成侵害原告作品复制权、发行权。</w:t>
      </w:r>
    </w:p>
    <w:p w:rsidR="00FF7D45" w:rsidRDefault="00FF7D45" w:rsidP="004F78FA">
      <w:pPr>
        <w:adjustRightInd w:val="0"/>
        <w:snapToGrid w:val="0"/>
        <w:spacing w:line="480" w:lineRule="exact"/>
        <w:ind w:firstLine="562"/>
        <w:rPr>
          <w:rFonts w:ascii="仿宋" w:eastAsia="仿宋" w:hAnsi="仿宋" w:cs="宋体"/>
          <w:b/>
          <w:color w:val="000000"/>
          <w:sz w:val="28"/>
          <w:szCs w:val="28"/>
        </w:rPr>
      </w:pPr>
    </w:p>
    <w:p w:rsidR="004F78FA" w:rsidRPr="00E67344" w:rsidRDefault="004F78FA" w:rsidP="004F78FA">
      <w:pPr>
        <w:adjustRightInd w:val="0"/>
        <w:snapToGrid w:val="0"/>
        <w:spacing w:line="480" w:lineRule="exact"/>
        <w:ind w:firstLine="562"/>
        <w:rPr>
          <w:rFonts w:ascii="仿宋" w:eastAsia="仿宋" w:hAnsi="仿宋" w:cs="宋体"/>
          <w:b/>
          <w:color w:val="000000"/>
          <w:sz w:val="28"/>
          <w:szCs w:val="28"/>
        </w:rPr>
      </w:pPr>
      <w:r w:rsidRPr="00E67344">
        <w:rPr>
          <w:rFonts w:ascii="仿宋" w:eastAsia="仿宋" w:hAnsi="仿宋" w:cs="宋体" w:hint="eastAsia"/>
          <w:b/>
          <w:color w:val="000000"/>
          <w:sz w:val="28"/>
          <w:szCs w:val="28"/>
        </w:rPr>
        <w:t>专家点评：</w:t>
      </w:r>
    </w:p>
    <w:p w:rsidR="004F78FA" w:rsidRPr="00E67344" w:rsidRDefault="004F78FA" w:rsidP="004F78FA">
      <w:pPr>
        <w:snapToGrid w:val="0"/>
        <w:spacing w:line="480" w:lineRule="exact"/>
        <w:ind w:firstLine="560"/>
        <w:rPr>
          <w:rFonts w:ascii="仿宋" w:eastAsia="仿宋" w:hAnsi="仿宋"/>
          <w:sz w:val="28"/>
          <w:szCs w:val="28"/>
        </w:rPr>
      </w:pPr>
      <w:r w:rsidRPr="00E67344">
        <w:rPr>
          <w:rFonts w:ascii="仿宋" w:eastAsia="仿宋" w:hAnsi="仿宋" w:hint="eastAsia"/>
          <w:sz w:val="28"/>
          <w:szCs w:val="28"/>
        </w:rPr>
        <w:t>在“叶肇鑫诉湖南音像出版社等案”中，原、被告对于被告在履行图书出版合同时，是否超数量发行存在争议。本案的特殊性在于，合同虽然约定可以限定发行总量，但并未实际确定数量，而原告指称被告超量发行的时间，又在合同约定的期限之内。这就需要结合考虑缔约目的、交易习惯、合同其他条款的表述及履行方式，对合同作出合理解释。这对法官的专业素养提出了较高的要求。</w:t>
      </w:r>
    </w:p>
    <w:p w:rsidR="004F78FA" w:rsidRDefault="004F78FA" w:rsidP="004F78FA">
      <w:pPr>
        <w:snapToGrid w:val="0"/>
        <w:spacing w:line="480" w:lineRule="exact"/>
        <w:ind w:firstLine="560"/>
        <w:rPr>
          <w:rFonts w:ascii="仿宋" w:eastAsia="仿宋" w:hAnsi="仿宋"/>
          <w:sz w:val="28"/>
          <w:szCs w:val="28"/>
        </w:rPr>
      </w:pPr>
      <w:r w:rsidRPr="00E67344">
        <w:rPr>
          <w:rFonts w:ascii="仿宋" w:eastAsia="仿宋" w:hAnsi="仿宋" w:hint="eastAsia"/>
          <w:sz w:val="28"/>
          <w:szCs w:val="28"/>
        </w:rPr>
        <w:t>在本案中，原告系自费出版，自费出版的作者一般不拿稿费或只有固定的稿费，出版者增加印量也不会按码洋比例给作者增加稿费，因此自费出版的作者往往只要求印刷、发行约定的数量</w:t>
      </w:r>
      <w:r w:rsidR="00B06101">
        <w:rPr>
          <w:rFonts w:ascii="仿宋" w:eastAsia="仿宋" w:hAnsi="仿宋" w:hint="eastAsia"/>
          <w:sz w:val="28"/>
          <w:szCs w:val="28"/>
        </w:rPr>
        <w:t>，</w:t>
      </w:r>
      <w:r w:rsidRPr="00E67344">
        <w:rPr>
          <w:rFonts w:ascii="仿宋" w:eastAsia="仿宋" w:hAnsi="仿宋" w:hint="eastAsia"/>
          <w:sz w:val="28"/>
          <w:szCs w:val="28"/>
        </w:rPr>
        <w:t>在约定不明的情况下应作出对作者有利的解释。同时，涉案作品是以“按需定制”的方式发行的，即有多少人订购就印刷发行多少套，根据订购数量发行完毕后就不再印刷</w:t>
      </w:r>
      <w:r w:rsidR="00B06101">
        <w:rPr>
          <w:rFonts w:ascii="仿宋" w:eastAsia="仿宋" w:hAnsi="仿宋" w:hint="eastAsia"/>
          <w:sz w:val="28"/>
          <w:szCs w:val="28"/>
        </w:rPr>
        <w:t>；</w:t>
      </w:r>
      <w:r w:rsidRPr="00E67344">
        <w:rPr>
          <w:rFonts w:ascii="仿宋" w:eastAsia="仿宋" w:hAnsi="仿宋" w:hint="eastAsia"/>
          <w:sz w:val="28"/>
          <w:szCs w:val="28"/>
        </w:rPr>
        <w:t>而且在合同期限尚未届满之时，双方就已经进行了决算，形成了纪要，其中明确说明之前按需印刷的作品已经全部发行销售完毕，并无库存，财务决算的结论至此也全部完成。法院综合考虑这些因素，认定印刷发行的数量应当限定为“按需定制”形成的数量，出版者擅自加印超出了出版合同对复制权和发行权的许可范围，构成侵权。这一对合同的解释合理合法，值得赞许。</w:t>
      </w:r>
    </w:p>
    <w:p w:rsidR="004F78FA" w:rsidRPr="00951B91" w:rsidRDefault="004F78FA" w:rsidP="004F78FA">
      <w:pPr>
        <w:adjustRightInd w:val="0"/>
        <w:snapToGrid w:val="0"/>
        <w:spacing w:line="480" w:lineRule="exact"/>
        <w:ind w:firstLine="560"/>
        <w:rPr>
          <w:rFonts w:ascii="仿宋" w:eastAsia="仿宋" w:hAnsi="仿宋"/>
          <w:color w:val="000000"/>
          <w:sz w:val="28"/>
          <w:szCs w:val="28"/>
        </w:rPr>
      </w:pPr>
      <w:r>
        <w:rPr>
          <w:rFonts w:ascii="仿宋" w:eastAsia="仿宋" w:hAnsi="仿宋" w:hint="eastAsia"/>
          <w:sz w:val="28"/>
          <w:szCs w:val="28"/>
        </w:rPr>
        <w:t>（点评人：王迁，华东政法大学教授、</w:t>
      </w:r>
      <w:r w:rsidRPr="00951B91">
        <w:rPr>
          <w:rFonts w:ascii="仿宋" w:eastAsia="仿宋" w:hAnsi="仿宋" w:hint="eastAsia"/>
          <w:sz w:val="28"/>
          <w:szCs w:val="28"/>
        </w:rPr>
        <w:t>博士生导师</w:t>
      </w:r>
      <w:r>
        <w:rPr>
          <w:rFonts w:ascii="仿宋" w:eastAsia="仿宋" w:hAnsi="仿宋" w:hint="eastAsia"/>
          <w:sz w:val="28"/>
          <w:szCs w:val="28"/>
        </w:rPr>
        <w:t>）</w:t>
      </w:r>
    </w:p>
    <w:p w:rsidR="004F78FA" w:rsidRPr="00E67344" w:rsidRDefault="004F78FA" w:rsidP="004F78FA">
      <w:pPr>
        <w:snapToGrid w:val="0"/>
        <w:spacing w:line="480" w:lineRule="exact"/>
        <w:ind w:firstLine="560"/>
        <w:rPr>
          <w:rFonts w:ascii="仿宋" w:eastAsia="仿宋" w:hAnsi="仿宋"/>
          <w:sz w:val="28"/>
          <w:szCs w:val="28"/>
        </w:rPr>
      </w:pPr>
    </w:p>
    <w:p w:rsidR="004F78FA" w:rsidRPr="00E67344" w:rsidRDefault="004F78FA" w:rsidP="004F78FA">
      <w:pPr>
        <w:adjustRightInd w:val="0"/>
        <w:snapToGrid w:val="0"/>
        <w:spacing w:line="480" w:lineRule="exact"/>
        <w:ind w:firstLine="560"/>
        <w:rPr>
          <w:rFonts w:ascii="仿宋" w:eastAsia="仿宋" w:hAnsi="仿宋" w:cs="宋体"/>
          <w:color w:val="000000"/>
          <w:sz w:val="28"/>
          <w:szCs w:val="28"/>
        </w:rPr>
      </w:pPr>
    </w:p>
    <w:p w:rsidR="004F78FA" w:rsidRPr="00691C88" w:rsidRDefault="004F78FA" w:rsidP="00B41349">
      <w:pPr>
        <w:spacing w:line="460" w:lineRule="exact"/>
        <w:ind w:firstLine="562"/>
        <w:jc w:val="center"/>
        <w:rPr>
          <w:rFonts w:ascii="仿宋" w:eastAsia="仿宋" w:hAnsi="仿宋" w:cs="仿宋"/>
          <w:b/>
          <w:sz w:val="28"/>
          <w:szCs w:val="28"/>
        </w:rPr>
      </w:pPr>
      <w:r w:rsidRPr="00691C88">
        <w:rPr>
          <w:rFonts w:ascii="仿宋" w:eastAsia="仿宋" w:hAnsi="仿宋" w:cs="仿宋" w:hint="eastAsia"/>
          <w:b/>
          <w:sz w:val="28"/>
          <w:szCs w:val="28"/>
        </w:rPr>
        <w:lastRenderedPageBreak/>
        <w:t>知识产权诉讼赔偿认定中证据披露及妨碍举证规则的适用</w:t>
      </w:r>
    </w:p>
    <w:p w:rsidR="004F78FA" w:rsidRPr="00691C88" w:rsidRDefault="004F78FA" w:rsidP="00B41349">
      <w:pPr>
        <w:spacing w:line="460" w:lineRule="exact"/>
        <w:ind w:firstLine="560"/>
        <w:jc w:val="center"/>
        <w:rPr>
          <w:rFonts w:ascii="仿宋" w:eastAsia="仿宋" w:hAnsi="仿宋" w:cs="宋体"/>
          <w:sz w:val="28"/>
          <w:szCs w:val="28"/>
        </w:rPr>
      </w:pPr>
      <w:r w:rsidRPr="00691C88">
        <w:rPr>
          <w:rFonts w:ascii="仿宋" w:eastAsia="仿宋" w:hAnsi="仿宋" w:cs="仿宋" w:hint="eastAsia"/>
          <w:sz w:val="28"/>
          <w:szCs w:val="28"/>
        </w:rPr>
        <w:t>——“蜀门”商标侵权及不正当竞争纠纷案</w:t>
      </w:r>
    </w:p>
    <w:p w:rsidR="00FF7D45" w:rsidRDefault="00FF7D45" w:rsidP="00B41349">
      <w:pPr>
        <w:adjustRightInd w:val="0"/>
        <w:snapToGrid w:val="0"/>
        <w:spacing w:line="460" w:lineRule="exact"/>
        <w:ind w:firstLine="562"/>
        <w:jc w:val="left"/>
        <w:rPr>
          <w:rFonts w:ascii="仿宋" w:eastAsia="仿宋" w:hAnsi="仿宋" w:cs="仿宋"/>
          <w:b/>
          <w:sz w:val="28"/>
          <w:szCs w:val="28"/>
        </w:rPr>
      </w:pPr>
    </w:p>
    <w:p w:rsidR="004F78FA" w:rsidRPr="00691C88" w:rsidRDefault="004F78FA" w:rsidP="00B41349">
      <w:pPr>
        <w:adjustRightInd w:val="0"/>
        <w:snapToGrid w:val="0"/>
        <w:spacing w:line="460" w:lineRule="exact"/>
        <w:ind w:firstLine="562"/>
        <w:jc w:val="left"/>
        <w:rPr>
          <w:rFonts w:ascii="仿宋" w:eastAsia="仿宋" w:hAnsi="仿宋" w:cs="仿宋"/>
          <w:b/>
          <w:sz w:val="28"/>
          <w:szCs w:val="28"/>
        </w:rPr>
      </w:pPr>
      <w:r w:rsidRPr="00691C88">
        <w:rPr>
          <w:rFonts w:ascii="仿宋" w:eastAsia="仿宋" w:hAnsi="仿宋" w:cs="仿宋" w:hint="eastAsia"/>
          <w:b/>
          <w:sz w:val="28"/>
          <w:szCs w:val="28"/>
        </w:rPr>
        <w:t>案情简介：</w:t>
      </w:r>
    </w:p>
    <w:p w:rsidR="004F78FA" w:rsidRPr="00691C88" w:rsidRDefault="004F78FA" w:rsidP="00B41349">
      <w:pPr>
        <w:spacing w:line="460" w:lineRule="exact"/>
        <w:ind w:firstLine="560"/>
        <w:rPr>
          <w:rFonts w:ascii="仿宋" w:eastAsia="仿宋" w:hAnsi="仿宋" w:cs="仿宋"/>
          <w:sz w:val="28"/>
          <w:szCs w:val="28"/>
        </w:rPr>
      </w:pPr>
      <w:r w:rsidRPr="00691C88">
        <w:rPr>
          <w:rFonts w:ascii="仿宋" w:eastAsia="仿宋" w:hAnsi="仿宋" w:cs="仿宋" w:hint="eastAsia"/>
          <w:sz w:val="28"/>
          <w:szCs w:val="28"/>
        </w:rPr>
        <w:t>原告云蟾公司系“蜀门”系列商标的专用权人，核定使用类别主要包括游戏，其将商标使用在其自行开发和营运的游戏上，该款游戏具有较高的知名度。原告正值将该款游戏移植入手游端并大力宣传之际，发现被告贪玩公司开始运营一款名为“绝世蜀门”的手游，并在多个平台发布宣传信息及提供下载通道。原告认为，被告侵犯了其注册商标专用权，诉请要求被告立即停止侵权、消除影响，并赔偿经济损失等1000万元。被告则认为，“绝世蜀门”只是作为游戏名称使用，并未发挥识别游戏来源的商标作用。审理过程中，原告向法院申请调查被告的游戏收入情况，但调取的支付宝、微信后台收入数据无法直接对应涉案游戏。考虑到被告同时运营多款游戏，法院经释明后要求被告就涉案游戏的收入进行举证。但被告仅提供若干非涉案游戏的收入证据，认为已完全覆盖调取的收入数据，据此证明涉案游戏并未实际获利。</w:t>
      </w:r>
    </w:p>
    <w:p w:rsidR="00FF7D45" w:rsidRDefault="00FF7D45" w:rsidP="00B41349">
      <w:pPr>
        <w:spacing w:line="460" w:lineRule="exact"/>
        <w:ind w:firstLine="562"/>
        <w:rPr>
          <w:rFonts w:ascii="仿宋" w:eastAsia="仿宋" w:hAnsi="仿宋" w:cs="仿宋"/>
          <w:b/>
          <w:sz w:val="28"/>
          <w:szCs w:val="28"/>
        </w:rPr>
      </w:pPr>
    </w:p>
    <w:p w:rsidR="004F78FA" w:rsidRPr="00691C88" w:rsidRDefault="004F78FA" w:rsidP="00B41349">
      <w:pPr>
        <w:spacing w:line="460" w:lineRule="exact"/>
        <w:ind w:firstLine="562"/>
        <w:rPr>
          <w:rFonts w:ascii="仿宋" w:eastAsia="仿宋" w:hAnsi="仿宋" w:cs="仿宋"/>
          <w:b/>
          <w:sz w:val="28"/>
          <w:szCs w:val="28"/>
        </w:rPr>
      </w:pPr>
      <w:r w:rsidRPr="00691C88">
        <w:rPr>
          <w:rFonts w:ascii="仿宋" w:eastAsia="仿宋" w:hAnsi="仿宋" w:cs="仿宋" w:hint="eastAsia"/>
          <w:b/>
          <w:sz w:val="28"/>
          <w:szCs w:val="28"/>
        </w:rPr>
        <w:t>裁判理由：</w:t>
      </w:r>
    </w:p>
    <w:p w:rsidR="004F78FA" w:rsidRPr="00691C88" w:rsidRDefault="004F78FA" w:rsidP="00B41349">
      <w:pPr>
        <w:spacing w:line="460" w:lineRule="exact"/>
        <w:ind w:firstLine="560"/>
        <w:rPr>
          <w:rFonts w:ascii="仿宋" w:eastAsia="仿宋" w:hAnsi="仿宋" w:cs="仿宋"/>
          <w:sz w:val="28"/>
          <w:szCs w:val="28"/>
        </w:rPr>
      </w:pPr>
      <w:r w:rsidRPr="00691C88">
        <w:rPr>
          <w:rFonts w:ascii="仿宋" w:eastAsia="仿宋" w:hAnsi="仿宋" w:cs="仿宋" w:hint="eastAsia"/>
          <w:sz w:val="28"/>
          <w:szCs w:val="28"/>
        </w:rPr>
        <w:t>法院认为，游戏名称本身具有个性化</w:t>
      </w:r>
      <w:r w:rsidR="00B06101">
        <w:rPr>
          <w:rFonts w:ascii="仿宋" w:eastAsia="仿宋" w:hAnsi="仿宋" w:cs="仿宋" w:hint="eastAsia"/>
          <w:sz w:val="28"/>
          <w:szCs w:val="28"/>
        </w:rPr>
        <w:t>特征</w:t>
      </w:r>
      <w:r w:rsidRPr="00691C88">
        <w:rPr>
          <w:rFonts w:ascii="仿宋" w:eastAsia="仿宋" w:hAnsi="仿宋" w:cs="仿宋" w:hint="eastAsia"/>
          <w:sz w:val="28"/>
          <w:szCs w:val="28"/>
        </w:rPr>
        <w:t>，可与开发商、运营商等形成对应联系，其实质是将游戏名称作为商业标识使用，从而实现游戏名称权益商标权化</w:t>
      </w:r>
      <w:r w:rsidR="007E788D">
        <w:rPr>
          <w:rFonts w:ascii="仿宋" w:eastAsia="仿宋" w:hAnsi="仿宋" w:cs="仿宋" w:hint="eastAsia"/>
          <w:sz w:val="28"/>
          <w:szCs w:val="28"/>
        </w:rPr>
        <w:t>。</w:t>
      </w:r>
      <w:r w:rsidRPr="00691C88">
        <w:rPr>
          <w:rFonts w:ascii="仿宋" w:eastAsia="仿宋" w:hAnsi="仿宋" w:cs="仿宋" w:hint="eastAsia"/>
          <w:sz w:val="28"/>
          <w:szCs w:val="28"/>
        </w:rPr>
        <w:t>这种方式在文创领域较为常见，如将游戏、小说等名称注册为商标。在两者趋同的情形下，被控侵权标识“绝世蜀门”、“蜀门传奇”、“蜀门情缘”的使用实质</w:t>
      </w:r>
      <w:r w:rsidR="00B06101">
        <w:rPr>
          <w:rFonts w:ascii="仿宋" w:eastAsia="仿宋" w:hAnsi="仿宋" w:cs="仿宋" w:hint="eastAsia"/>
          <w:sz w:val="28"/>
          <w:szCs w:val="28"/>
        </w:rPr>
        <w:t>上</w:t>
      </w:r>
      <w:r w:rsidRPr="00691C88">
        <w:rPr>
          <w:rFonts w:ascii="仿宋" w:eastAsia="仿宋" w:hAnsi="仿宋" w:cs="仿宋" w:hint="eastAsia"/>
          <w:sz w:val="28"/>
          <w:szCs w:val="28"/>
        </w:rPr>
        <w:t>发挥了区分游戏来源的商标性功能。原告恰值将其享有美誉的“蜀门”客户端游戏移植入手游端的宣传之际，被告使用上述标识，与涉案商标构成近似，且易致混淆误认，构成商标侵权。原告通过调取支付宝、微信后台收入数据的方式就被告游戏获利情况进行举证，但由于被告公司实际运营多款游戏，后台数据无法直接对应涉案游戏</w:t>
      </w:r>
      <w:r w:rsidR="007E788D">
        <w:rPr>
          <w:rFonts w:ascii="仿宋" w:eastAsia="仿宋" w:hAnsi="仿宋" w:cs="仿宋" w:hint="eastAsia"/>
          <w:sz w:val="28"/>
          <w:szCs w:val="28"/>
        </w:rPr>
        <w:t>。</w:t>
      </w:r>
      <w:r w:rsidRPr="00691C88">
        <w:rPr>
          <w:rFonts w:ascii="仿宋" w:eastAsia="仿宋" w:hAnsi="仿宋" w:cs="仿宋" w:hint="eastAsia"/>
          <w:sz w:val="28"/>
          <w:szCs w:val="28"/>
        </w:rPr>
        <w:t>经释明，被告在理应掌握游戏收入数据的情况下，未提供涉案游戏收入证据，取而代之的是通</w:t>
      </w:r>
      <w:r w:rsidRPr="00691C88">
        <w:rPr>
          <w:rFonts w:ascii="仿宋" w:eastAsia="仿宋" w:hAnsi="仿宋" w:cs="仿宋" w:hint="eastAsia"/>
          <w:sz w:val="28"/>
          <w:szCs w:val="28"/>
        </w:rPr>
        <w:lastRenderedPageBreak/>
        <w:t>过提供其他游戏的收入数据以反向证明涉案游戏无实际收入或收入极低，但相关数据已大大超过支付宝及微信平台的调取数据</w:t>
      </w:r>
      <w:r w:rsidR="007E788D">
        <w:rPr>
          <w:rFonts w:ascii="仿宋" w:eastAsia="仿宋" w:hAnsi="仿宋" w:cs="仿宋" w:hint="eastAsia"/>
          <w:sz w:val="28"/>
          <w:szCs w:val="28"/>
        </w:rPr>
        <w:t>。</w:t>
      </w:r>
      <w:r w:rsidRPr="00691C88">
        <w:rPr>
          <w:rFonts w:ascii="仿宋" w:eastAsia="仿宋" w:hAnsi="仿宋" w:cs="仿宋" w:hint="eastAsia"/>
          <w:sz w:val="28"/>
          <w:szCs w:val="28"/>
        </w:rPr>
        <w:t>法院有理由相信，这些数据即便真实，其来源也并不限于支付宝及微信支付渠道，因此难以认定已达成被告的证明目的。因被告拒不提供相关证据，故对其作出不利推定。在具体适用时，仍结合游戏知名度、侵权时间段、盈利周期、商标贡献度、多款游戏收入混合等因素，未全额支持权利人主张，但在法定赔偿范围内顶格判赔300万元。</w:t>
      </w:r>
    </w:p>
    <w:p w:rsidR="00FF7D45" w:rsidRDefault="00FF7D45" w:rsidP="00B41349">
      <w:pPr>
        <w:spacing w:line="460" w:lineRule="exact"/>
        <w:ind w:firstLine="562"/>
        <w:rPr>
          <w:rFonts w:ascii="仿宋" w:eastAsia="仿宋" w:hAnsi="仿宋" w:cs="仿宋"/>
          <w:b/>
          <w:sz w:val="28"/>
          <w:szCs w:val="28"/>
        </w:rPr>
      </w:pPr>
    </w:p>
    <w:p w:rsidR="004F78FA" w:rsidRPr="00691C88" w:rsidRDefault="004F78FA" w:rsidP="00B41349">
      <w:pPr>
        <w:spacing w:line="460" w:lineRule="exact"/>
        <w:ind w:firstLine="562"/>
        <w:rPr>
          <w:rFonts w:ascii="仿宋" w:eastAsia="仿宋" w:hAnsi="仿宋" w:cs="仿宋"/>
          <w:b/>
          <w:sz w:val="28"/>
          <w:szCs w:val="28"/>
        </w:rPr>
      </w:pPr>
      <w:r w:rsidRPr="00691C88">
        <w:rPr>
          <w:rFonts w:ascii="仿宋" w:eastAsia="仿宋" w:hAnsi="仿宋" w:cs="仿宋" w:hint="eastAsia"/>
          <w:b/>
          <w:sz w:val="28"/>
          <w:szCs w:val="28"/>
        </w:rPr>
        <w:t>专家点评：</w:t>
      </w:r>
    </w:p>
    <w:p w:rsidR="004F78FA" w:rsidRPr="00691C88" w:rsidRDefault="004F78FA" w:rsidP="00B41349">
      <w:pPr>
        <w:spacing w:line="460" w:lineRule="exact"/>
        <w:ind w:firstLine="560"/>
        <w:rPr>
          <w:rFonts w:ascii="仿宋" w:eastAsia="仿宋" w:hAnsi="仿宋" w:cs="仿宋"/>
          <w:sz w:val="28"/>
          <w:szCs w:val="28"/>
        </w:rPr>
      </w:pPr>
      <w:r w:rsidRPr="00691C88">
        <w:rPr>
          <w:rFonts w:ascii="仿宋" w:eastAsia="仿宋" w:hAnsi="仿宋" w:cs="仿宋" w:hint="eastAsia"/>
          <w:sz w:val="28"/>
          <w:szCs w:val="28"/>
        </w:rPr>
        <w:t>“举证难、赔偿低”一直是我国知识产权司法保护中难题，影响了知识产权保护对创新的激励保障功能的充分发挥。为破解这一难题，近年来，我国在立法和司法上不断完善，立法上表现为完善举证规则、提高法定赔偿上限、增加惩罚性赔偿等，司法上表现为加大适用举证释明、证据出示令等，上海市高院还在司法政策上确立“有利于权利保护”原则。知识产权侵权赔偿不足的根本原因在于权利人对主张赔偿数额的举证困难。尽管法律明确规定了以实际损失、侵权所得或许可费合理倍数确定赔偿数额，但这需要权利人举证证明。尤其是在相关的账簿、资料主要由侵权人掌握的情况下，权利人难于取得证据，无法举证侵权所得。即使是法定赔偿，也需要由法院根据侵权行为的情节确定。因此，在司法中适用证据披露及妨碍举证规则显得尤为必要和重要。</w:t>
      </w:r>
    </w:p>
    <w:p w:rsidR="004F78FA" w:rsidRPr="00691C88" w:rsidRDefault="004F78FA" w:rsidP="00B41349">
      <w:pPr>
        <w:spacing w:line="460" w:lineRule="exact"/>
        <w:ind w:firstLine="560"/>
        <w:rPr>
          <w:rFonts w:ascii="仿宋" w:eastAsia="仿宋" w:hAnsi="仿宋" w:cs="仿宋"/>
          <w:sz w:val="28"/>
          <w:szCs w:val="28"/>
        </w:rPr>
      </w:pPr>
      <w:r w:rsidRPr="00691C88">
        <w:rPr>
          <w:rFonts w:ascii="仿宋" w:eastAsia="仿宋" w:hAnsi="仿宋" w:cs="仿宋" w:hint="eastAsia"/>
          <w:sz w:val="28"/>
          <w:szCs w:val="28"/>
        </w:rPr>
        <w:t>本案中，在原告初步举证被告收入的情况下，法院对被告进行举证释明，要求被告提供涉案游戏收入证据，因被告理应掌握游戏收入数据而拒不提供相关证据，法院对其作出不利推定。法院并未参考权利人的主张全额支持赔偿数额，在对被告作出不利推定的前提下，结合游戏知名度、侵权时间段、盈利周期、商标贡献度、多款游戏收入混合等因素，在法定赔偿范围内顶格判赔。本案中，法院既合理适用证据披露及妨碍举证规则，又结合侵权行为情节顶格适用法定赔偿，为司法中破解“举证难、赔偿低”难题，合理判定赔偿数额，提供了有益的思路，对于知识产权司法实践中侵权损害赔偿数额的确定具有</w:t>
      </w:r>
      <w:r w:rsidRPr="00691C88">
        <w:rPr>
          <w:rFonts w:ascii="仿宋" w:eastAsia="仿宋" w:hAnsi="仿宋" w:cs="仿宋" w:hint="eastAsia"/>
          <w:sz w:val="28"/>
          <w:szCs w:val="28"/>
        </w:rPr>
        <w:lastRenderedPageBreak/>
        <w:t>借鉴意义。</w:t>
      </w:r>
    </w:p>
    <w:p w:rsidR="004F78FA" w:rsidRDefault="004F78FA" w:rsidP="00B41349">
      <w:pPr>
        <w:spacing w:line="460" w:lineRule="exact"/>
        <w:ind w:firstLineChars="150" w:firstLine="420"/>
        <w:rPr>
          <w:rFonts w:ascii="仿宋" w:eastAsia="仿宋" w:hAnsi="仿宋" w:cs="仿宋"/>
          <w:sz w:val="28"/>
          <w:szCs w:val="28"/>
        </w:rPr>
      </w:pPr>
      <w:r w:rsidRPr="00691C88">
        <w:rPr>
          <w:rFonts w:ascii="仿宋" w:eastAsia="仿宋" w:hAnsi="仿宋" w:cs="仿宋" w:hint="eastAsia"/>
          <w:sz w:val="28"/>
          <w:szCs w:val="28"/>
        </w:rPr>
        <w:t>（点评人：许春明，教授、博士生导师，上海大学法学院副院长兼知识产权学院院长）</w:t>
      </w: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FF7D45" w:rsidRDefault="00FF7D45" w:rsidP="00B41349">
      <w:pPr>
        <w:spacing w:line="460" w:lineRule="exact"/>
        <w:ind w:firstLineChars="150" w:firstLine="420"/>
        <w:rPr>
          <w:rFonts w:ascii="仿宋" w:eastAsia="仿宋" w:hAnsi="仿宋" w:cs="仿宋"/>
          <w:sz w:val="28"/>
          <w:szCs w:val="28"/>
        </w:rPr>
      </w:pPr>
    </w:p>
    <w:p w:rsidR="004F78FA" w:rsidRPr="008676BB" w:rsidRDefault="004F78FA" w:rsidP="004F78FA">
      <w:pPr>
        <w:adjustRightInd w:val="0"/>
        <w:snapToGrid w:val="0"/>
        <w:spacing w:line="480" w:lineRule="exact"/>
        <w:ind w:firstLine="562"/>
        <w:jc w:val="center"/>
        <w:rPr>
          <w:rFonts w:ascii="仿宋" w:eastAsia="仿宋" w:hAnsi="仿宋"/>
          <w:b/>
          <w:sz w:val="28"/>
          <w:szCs w:val="28"/>
        </w:rPr>
      </w:pPr>
      <w:r w:rsidRPr="008676BB">
        <w:rPr>
          <w:rFonts w:ascii="仿宋" w:eastAsia="仿宋" w:hAnsi="仿宋" w:hint="eastAsia"/>
          <w:b/>
          <w:sz w:val="28"/>
          <w:szCs w:val="28"/>
        </w:rPr>
        <w:lastRenderedPageBreak/>
        <w:t>商城管理人对</w:t>
      </w:r>
      <w:r>
        <w:rPr>
          <w:rFonts w:ascii="仿宋" w:eastAsia="仿宋" w:hAnsi="仿宋" w:hint="eastAsia"/>
          <w:b/>
          <w:sz w:val="28"/>
          <w:szCs w:val="28"/>
        </w:rPr>
        <w:t>内部</w:t>
      </w:r>
      <w:r w:rsidRPr="008676BB">
        <w:rPr>
          <w:rFonts w:ascii="仿宋" w:eastAsia="仿宋" w:hAnsi="仿宋" w:hint="eastAsia"/>
          <w:b/>
          <w:sz w:val="28"/>
          <w:szCs w:val="28"/>
        </w:rPr>
        <w:t>销假行为明知</w:t>
      </w:r>
      <w:r>
        <w:rPr>
          <w:rFonts w:ascii="仿宋" w:eastAsia="仿宋" w:hAnsi="仿宋" w:hint="eastAsia"/>
          <w:b/>
          <w:sz w:val="28"/>
          <w:szCs w:val="28"/>
        </w:rPr>
        <w:t>且作用巨大</w:t>
      </w:r>
      <w:r w:rsidR="00B06101">
        <w:rPr>
          <w:rFonts w:ascii="仿宋" w:eastAsia="仿宋" w:hAnsi="仿宋" w:hint="eastAsia"/>
          <w:b/>
          <w:sz w:val="28"/>
          <w:szCs w:val="28"/>
        </w:rPr>
        <w:t>的</w:t>
      </w:r>
      <w:r>
        <w:rPr>
          <w:rFonts w:ascii="仿宋" w:eastAsia="仿宋" w:hAnsi="仿宋" w:hint="eastAsia"/>
          <w:b/>
          <w:sz w:val="28"/>
          <w:szCs w:val="28"/>
        </w:rPr>
        <w:t>构成主犯</w:t>
      </w:r>
    </w:p>
    <w:p w:rsidR="004F78FA" w:rsidRPr="008676BB" w:rsidRDefault="004F78FA" w:rsidP="004F78FA">
      <w:pPr>
        <w:adjustRightInd w:val="0"/>
        <w:snapToGrid w:val="0"/>
        <w:spacing w:line="480" w:lineRule="exact"/>
        <w:ind w:firstLine="560"/>
        <w:jc w:val="center"/>
        <w:rPr>
          <w:rFonts w:ascii="仿宋" w:eastAsia="仿宋" w:hAnsi="仿宋" w:cs="宋体"/>
          <w:kern w:val="0"/>
          <w:sz w:val="28"/>
          <w:szCs w:val="28"/>
        </w:rPr>
      </w:pPr>
      <w:r w:rsidRPr="008676BB">
        <w:rPr>
          <w:rFonts w:ascii="仿宋" w:eastAsia="仿宋" w:hAnsi="仿宋" w:cs="宋体" w:hint="eastAsia"/>
          <w:kern w:val="0"/>
          <w:sz w:val="28"/>
          <w:szCs w:val="28"/>
        </w:rPr>
        <w:t>——</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w:t>
      </w:r>
      <w:r w:rsidR="00B41349">
        <w:rPr>
          <w:rFonts w:ascii="仿宋" w:eastAsia="仿宋" w:hAnsi="仿宋" w:cs="宋体" w:hint="eastAsia"/>
          <w:kern w:val="0"/>
          <w:sz w:val="28"/>
          <w:szCs w:val="28"/>
        </w:rPr>
        <w:t>万某某</w:t>
      </w:r>
      <w:r w:rsidRPr="008676BB">
        <w:rPr>
          <w:rFonts w:ascii="仿宋" w:eastAsia="仿宋" w:hAnsi="仿宋" w:cs="宋体" w:hint="eastAsia"/>
          <w:kern w:val="0"/>
          <w:sz w:val="28"/>
          <w:szCs w:val="28"/>
        </w:rPr>
        <w:t>销售假冒注册商标的商品案</w:t>
      </w:r>
    </w:p>
    <w:p w:rsidR="00FF7D45" w:rsidRDefault="00FF7D45" w:rsidP="007C0619">
      <w:pPr>
        <w:adjustRightInd w:val="0"/>
        <w:snapToGrid w:val="0"/>
        <w:spacing w:line="480" w:lineRule="exact"/>
        <w:ind w:firstLine="562"/>
        <w:jc w:val="left"/>
        <w:rPr>
          <w:rFonts w:ascii="仿宋" w:eastAsia="仿宋" w:hAnsi="仿宋"/>
          <w:b/>
          <w:bCs/>
          <w:sz w:val="28"/>
          <w:szCs w:val="28"/>
        </w:rPr>
      </w:pPr>
    </w:p>
    <w:p w:rsidR="004F78FA" w:rsidRPr="008676BB" w:rsidRDefault="004F78FA" w:rsidP="007C0619">
      <w:pPr>
        <w:adjustRightInd w:val="0"/>
        <w:snapToGrid w:val="0"/>
        <w:spacing w:line="480" w:lineRule="exact"/>
        <w:ind w:firstLine="562"/>
        <w:jc w:val="left"/>
        <w:rPr>
          <w:rFonts w:ascii="仿宋" w:eastAsia="仿宋" w:hAnsi="仿宋"/>
          <w:sz w:val="28"/>
          <w:szCs w:val="28"/>
        </w:rPr>
      </w:pPr>
      <w:r w:rsidRPr="008676BB">
        <w:rPr>
          <w:rFonts w:ascii="仿宋" w:eastAsia="仿宋" w:hAnsi="仿宋" w:hint="eastAsia"/>
          <w:b/>
          <w:bCs/>
          <w:sz w:val="28"/>
          <w:szCs w:val="28"/>
        </w:rPr>
        <w:t>案情简介：</w:t>
      </w:r>
    </w:p>
    <w:p w:rsidR="004F78FA" w:rsidRPr="008676BB" w:rsidRDefault="004F78FA" w:rsidP="004F78FA">
      <w:pPr>
        <w:adjustRightInd w:val="0"/>
        <w:snapToGrid w:val="0"/>
        <w:spacing w:line="480" w:lineRule="exact"/>
        <w:ind w:firstLine="560"/>
        <w:rPr>
          <w:rFonts w:ascii="仿宋" w:eastAsia="仿宋" w:hAnsi="仿宋" w:cs="宋体"/>
          <w:kern w:val="0"/>
          <w:sz w:val="28"/>
          <w:szCs w:val="28"/>
        </w:rPr>
      </w:pPr>
      <w:r w:rsidRPr="008676BB">
        <w:rPr>
          <w:rFonts w:ascii="仿宋" w:eastAsia="仿宋" w:hAnsi="仿宋" w:cs="宋体" w:hint="eastAsia"/>
          <w:kern w:val="0"/>
          <w:sz w:val="28"/>
          <w:szCs w:val="28"/>
        </w:rPr>
        <w:t>被告人</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系韩城公司股东及实际控制人，在负责上海韩城服饰礼品广场（下称“淘宝城”）经营管理期间，明知“淘宝城”内商铺售假活动高发且多次被查处并判决，仍利用其在“淘宝城”的控制地位，长期提供场所，放纵、容留商户售假。为规避工商检查，其不再采取签订书面合同的方式，</w:t>
      </w:r>
      <w:r>
        <w:rPr>
          <w:rFonts w:ascii="仿宋" w:eastAsia="仿宋" w:hAnsi="仿宋" w:cs="宋体" w:hint="eastAsia"/>
          <w:kern w:val="0"/>
          <w:sz w:val="28"/>
          <w:szCs w:val="28"/>
        </w:rPr>
        <w:t>而</w:t>
      </w:r>
      <w:r w:rsidRPr="008676BB">
        <w:rPr>
          <w:rFonts w:ascii="仿宋" w:eastAsia="仿宋" w:hAnsi="仿宋" w:cs="宋体" w:hint="eastAsia"/>
          <w:kern w:val="0"/>
          <w:sz w:val="28"/>
          <w:szCs w:val="28"/>
        </w:rPr>
        <w:t>按内部记录以个人收取现金不入帐的方式收取费用，并授意向“黄牛”收取大厅花车高额租金，对不交钱的黄牛予以驱赶。另，其向商铺经营者收取推广费524万余元，对外支付导游费388万余元，专门吸引外国团队入“淘宝城”消费，并在“淘宝城”商场广播</w:t>
      </w:r>
      <w:r w:rsidR="004372AD">
        <w:rPr>
          <w:rFonts w:ascii="仿宋" w:eastAsia="仿宋" w:hAnsi="仿宋" w:cs="宋体" w:hint="eastAsia"/>
          <w:kern w:val="0"/>
          <w:sz w:val="28"/>
          <w:szCs w:val="28"/>
        </w:rPr>
        <w:t>，</w:t>
      </w:r>
      <w:r w:rsidRPr="008676BB">
        <w:rPr>
          <w:rFonts w:ascii="仿宋" w:eastAsia="仿宋" w:hAnsi="仿宋" w:cs="宋体" w:hint="eastAsia"/>
          <w:kern w:val="0"/>
          <w:sz w:val="28"/>
          <w:szCs w:val="28"/>
        </w:rPr>
        <w:t>通知</w:t>
      </w:r>
      <w:r>
        <w:rPr>
          <w:rFonts w:ascii="仿宋" w:eastAsia="仿宋" w:hAnsi="仿宋" w:cs="宋体" w:hint="eastAsia"/>
          <w:kern w:val="0"/>
          <w:sz w:val="28"/>
          <w:szCs w:val="28"/>
        </w:rPr>
        <w:t>商户</w:t>
      </w:r>
      <w:r w:rsidR="004372AD">
        <w:rPr>
          <w:rFonts w:ascii="仿宋" w:eastAsia="仿宋" w:hAnsi="仿宋" w:cs="宋体" w:hint="eastAsia"/>
          <w:kern w:val="0"/>
          <w:sz w:val="28"/>
          <w:szCs w:val="28"/>
        </w:rPr>
        <w:t>有</w:t>
      </w:r>
      <w:r w:rsidRPr="008676BB">
        <w:rPr>
          <w:rFonts w:ascii="仿宋" w:eastAsia="仿宋" w:hAnsi="仿宋" w:cs="宋体" w:hint="eastAsia"/>
          <w:kern w:val="0"/>
          <w:sz w:val="28"/>
          <w:szCs w:val="28"/>
        </w:rPr>
        <w:t>公安、工商检查。此外，</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指使</w:t>
      </w:r>
      <w:r w:rsidR="00B41349">
        <w:rPr>
          <w:rFonts w:ascii="仿宋" w:eastAsia="仿宋" w:hAnsi="仿宋" w:cs="宋体" w:hint="eastAsia"/>
          <w:kern w:val="0"/>
          <w:sz w:val="28"/>
          <w:szCs w:val="28"/>
        </w:rPr>
        <w:t>杜某某</w:t>
      </w:r>
      <w:r w:rsidRPr="008676BB">
        <w:rPr>
          <w:rFonts w:ascii="仿宋" w:eastAsia="仿宋" w:hAnsi="仿宋" w:cs="宋体" w:hint="eastAsia"/>
          <w:kern w:val="0"/>
          <w:sz w:val="28"/>
          <w:szCs w:val="28"/>
        </w:rPr>
        <w:t>为其“淘宝城”2楼9号店铺雇佣营业员及联系店铺装修事宜。杜按</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指示，联系</w:t>
      </w:r>
      <w:r w:rsidR="00B41349">
        <w:rPr>
          <w:rFonts w:ascii="仿宋" w:eastAsia="仿宋" w:hAnsi="仿宋" w:cs="宋体" w:hint="eastAsia"/>
          <w:kern w:val="0"/>
          <w:sz w:val="28"/>
          <w:szCs w:val="28"/>
        </w:rPr>
        <w:t>万某某</w:t>
      </w:r>
      <w:r w:rsidRPr="008676BB">
        <w:rPr>
          <w:rFonts w:ascii="仿宋" w:eastAsia="仿宋" w:hAnsi="仿宋" w:cs="宋体" w:hint="eastAsia"/>
          <w:kern w:val="0"/>
          <w:sz w:val="28"/>
          <w:szCs w:val="28"/>
        </w:rPr>
        <w:t>对该店铺进行装修，并安排营业员进行销售。被告人</w:t>
      </w:r>
      <w:r w:rsidR="00B41349">
        <w:rPr>
          <w:rFonts w:ascii="仿宋" w:eastAsia="仿宋" w:hAnsi="仿宋" w:cs="宋体" w:hint="eastAsia"/>
          <w:kern w:val="0"/>
          <w:sz w:val="28"/>
          <w:szCs w:val="28"/>
        </w:rPr>
        <w:t>万某某</w:t>
      </w:r>
      <w:r w:rsidRPr="008676BB">
        <w:rPr>
          <w:rFonts w:ascii="仿宋" w:eastAsia="仿宋" w:hAnsi="仿宋" w:cs="宋体" w:hint="eastAsia"/>
          <w:kern w:val="0"/>
          <w:sz w:val="28"/>
          <w:szCs w:val="28"/>
        </w:rPr>
        <w:t>明知“淘宝城”内多家店铺销假，先后为多家店铺装修用于藏匿及暗中销售假冒注册商标的商品</w:t>
      </w:r>
      <w:r>
        <w:rPr>
          <w:rFonts w:ascii="仿宋" w:eastAsia="仿宋" w:hAnsi="仿宋" w:cs="宋体" w:hint="eastAsia"/>
          <w:kern w:val="0"/>
          <w:sz w:val="28"/>
          <w:szCs w:val="28"/>
        </w:rPr>
        <w:t>的暗格</w:t>
      </w:r>
      <w:r w:rsidRPr="008676BB">
        <w:rPr>
          <w:rFonts w:ascii="仿宋" w:eastAsia="仿宋" w:hAnsi="仿宋" w:cs="宋体" w:hint="eastAsia"/>
          <w:kern w:val="0"/>
          <w:sz w:val="28"/>
          <w:szCs w:val="28"/>
        </w:rPr>
        <w:t>。公诉机关认为，</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明知他人侵犯知识产权犯罪而为其提供经营场所，且明知是假冒注册商标的商品仍予以销售，待售金额巨大，其在部分犯罪事实中起次要作用；</w:t>
      </w:r>
      <w:r w:rsidR="00B41349">
        <w:rPr>
          <w:rFonts w:ascii="仿宋" w:eastAsia="仿宋" w:hAnsi="仿宋" w:cs="宋体" w:hint="eastAsia"/>
          <w:kern w:val="0"/>
          <w:sz w:val="28"/>
          <w:szCs w:val="28"/>
        </w:rPr>
        <w:t>万某某</w:t>
      </w:r>
      <w:r w:rsidRPr="008676BB">
        <w:rPr>
          <w:rFonts w:ascii="仿宋" w:eastAsia="仿宋" w:hAnsi="仿宋" w:cs="宋体" w:hint="eastAsia"/>
          <w:kern w:val="0"/>
          <w:sz w:val="28"/>
          <w:szCs w:val="28"/>
        </w:rPr>
        <w:t>明知他人销售假冒注册商标的商品仍为其提供装修帮助，其在共同犯罪中起辅助作用。二者皆应以销售假冒注册商标的商品罪追究刑事责任，系从犯，应从轻或者减轻处罚。两被告人对销售部分的商品已着手实施犯罪，因意志以外的原因未得逞，系犯罪未遂，可比照既遂犯从轻或者减轻处罚。</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辩称，其虽知道很多店铺售假，但已尽管理责任，增收扩大经营费是为了提高商铺经营成本让其不再售假；扩大经营费虽在其个人银行卡内，但卡由他人保管，后期已准备转型，并向工商局递交转型报告；关于2楼9号店铺，其不认可为自己经营，称系租给</w:t>
      </w:r>
      <w:r w:rsidR="00B41349">
        <w:rPr>
          <w:rFonts w:ascii="仿宋" w:eastAsia="仿宋" w:hAnsi="仿宋" w:cs="宋体" w:hint="eastAsia"/>
          <w:kern w:val="0"/>
          <w:sz w:val="28"/>
          <w:szCs w:val="28"/>
        </w:rPr>
        <w:t>杜某某</w:t>
      </w:r>
      <w:r w:rsidRPr="008676BB">
        <w:rPr>
          <w:rFonts w:ascii="仿宋" w:eastAsia="仿宋" w:hAnsi="仿宋" w:cs="宋体" w:hint="eastAsia"/>
          <w:kern w:val="0"/>
          <w:sz w:val="28"/>
          <w:szCs w:val="28"/>
        </w:rPr>
        <w:t>，不知杜售假。</w:t>
      </w:r>
      <w:r w:rsidR="00B41349">
        <w:rPr>
          <w:rFonts w:ascii="仿宋" w:eastAsia="仿宋" w:hAnsi="仿宋" w:cs="宋体" w:hint="eastAsia"/>
          <w:kern w:val="0"/>
          <w:sz w:val="28"/>
          <w:szCs w:val="28"/>
        </w:rPr>
        <w:t>万某某</w:t>
      </w:r>
      <w:r w:rsidRPr="008676BB">
        <w:rPr>
          <w:rFonts w:ascii="仿宋" w:eastAsia="仿宋" w:hAnsi="仿宋" w:cs="宋体" w:hint="eastAsia"/>
          <w:kern w:val="0"/>
          <w:sz w:val="28"/>
          <w:szCs w:val="28"/>
        </w:rPr>
        <w:t>辩称，没有证据证明涉案店铺查获的假冒商品是从暗格内查出的，不</w:t>
      </w:r>
      <w:r w:rsidRPr="008676BB">
        <w:rPr>
          <w:rFonts w:ascii="仿宋" w:eastAsia="仿宋" w:hAnsi="仿宋" w:cs="宋体" w:hint="eastAsia"/>
          <w:kern w:val="0"/>
          <w:sz w:val="28"/>
          <w:szCs w:val="28"/>
        </w:rPr>
        <w:lastRenderedPageBreak/>
        <w:t>能对被告人指控犯罪。</w:t>
      </w:r>
    </w:p>
    <w:p w:rsidR="00FF7D45" w:rsidRDefault="00FF7D45" w:rsidP="004F78FA">
      <w:pPr>
        <w:adjustRightInd w:val="0"/>
        <w:snapToGrid w:val="0"/>
        <w:spacing w:line="480" w:lineRule="exact"/>
        <w:ind w:firstLine="562"/>
        <w:rPr>
          <w:rFonts w:ascii="仿宋" w:eastAsia="仿宋" w:hAnsi="仿宋"/>
          <w:b/>
          <w:bCs/>
          <w:sz w:val="28"/>
          <w:szCs w:val="28"/>
        </w:rPr>
      </w:pPr>
    </w:p>
    <w:p w:rsidR="004F78FA" w:rsidRPr="008676BB" w:rsidRDefault="004F78FA" w:rsidP="004F78FA">
      <w:pPr>
        <w:adjustRightInd w:val="0"/>
        <w:snapToGrid w:val="0"/>
        <w:spacing w:line="480" w:lineRule="exact"/>
        <w:ind w:firstLine="562"/>
        <w:rPr>
          <w:rFonts w:ascii="仿宋" w:eastAsia="仿宋" w:hAnsi="仿宋"/>
          <w:b/>
          <w:bCs/>
          <w:sz w:val="28"/>
          <w:szCs w:val="28"/>
        </w:rPr>
      </w:pPr>
      <w:r w:rsidRPr="008676BB">
        <w:rPr>
          <w:rFonts w:ascii="仿宋" w:eastAsia="仿宋" w:hAnsi="仿宋" w:hint="eastAsia"/>
          <w:b/>
          <w:bCs/>
          <w:sz w:val="28"/>
          <w:szCs w:val="28"/>
        </w:rPr>
        <w:t>裁判理由：</w:t>
      </w:r>
    </w:p>
    <w:p w:rsidR="004F78FA" w:rsidRPr="008676BB" w:rsidRDefault="004F78FA" w:rsidP="004F78FA">
      <w:pPr>
        <w:adjustRightInd w:val="0"/>
        <w:snapToGrid w:val="0"/>
        <w:spacing w:line="480" w:lineRule="exact"/>
        <w:ind w:firstLine="560"/>
        <w:rPr>
          <w:rFonts w:ascii="仿宋" w:eastAsia="仿宋" w:hAnsi="仿宋" w:cs="宋体"/>
          <w:kern w:val="0"/>
          <w:sz w:val="28"/>
          <w:szCs w:val="28"/>
        </w:rPr>
      </w:pPr>
      <w:r w:rsidRPr="008676BB">
        <w:rPr>
          <w:rFonts w:ascii="仿宋" w:eastAsia="仿宋" w:hAnsi="仿宋" w:cs="宋体" w:hint="eastAsia"/>
          <w:kern w:val="0"/>
          <w:sz w:val="28"/>
          <w:szCs w:val="28"/>
        </w:rPr>
        <w:t>法院认为，帮助行为在正犯行为中作用巨大的，构成主犯。非以公司名义及决议做出犯罪行为，且违法所得未归单位所有的，不构成单位犯罪。</w:t>
      </w:r>
    </w:p>
    <w:p w:rsidR="004F78FA" w:rsidRPr="008676BB" w:rsidRDefault="004F78FA" w:rsidP="004F78FA">
      <w:pPr>
        <w:adjustRightInd w:val="0"/>
        <w:snapToGrid w:val="0"/>
        <w:spacing w:line="480" w:lineRule="exact"/>
        <w:ind w:firstLine="560"/>
        <w:rPr>
          <w:rFonts w:ascii="仿宋" w:eastAsia="仿宋" w:hAnsi="仿宋" w:cs="宋体"/>
          <w:kern w:val="0"/>
          <w:sz w:val="28"/>
          <w:szCs w:val="28"/>
        </w:rPr>
      </w:pPr>
      <w:r w:rsidRPr="008676BB">
        <w:rPr>
          <w:rFonts w:ascii="仿宋" w:eastAsia="仿宋" w:hAnsi="仿宋" w:cs="宋体" w:hint="eastAsia"/>
          <w:kern w:val="0"/>
          <w:sz w:val="28"/>
          <w:szCs w:val="28"/>
        </w:rPr>
        <w:t>被告人</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作为韩城公司股东和实际控制人，就韩城公司违法的财务管理、记账方式及店铺出租、市场经营等管理模式起决定性作用，对“淘宝城”内售假活动主观明知。</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利用其控制地位，为商户提供租赁场所，容留商铺售假，放任商铺藏匿假货，并向商铺预先提供消息以逃避查处，对“淘宝城”内售假频发、装修藏匿、“黄牛”拉客、导游带团的不良业态有直接责任。</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明知他人实施销售假冒注册商标商品的犯罪，待售金额巨大，而为其提供便利条件及帮助，构成共犯，应对 “淘宝城”内店铺售假行为承担共同犯罪的刑事责任</w:t>
      </w:r>
      <w:r w:rsidR="00B06101">
        <w:rPr>
          <w:rFonts w:ascii="仿宋" w:eastAsia="仿宋" w:hAnsi="仿宋" w:cs="宋体" w:hint="eastAsia"/>
          <w:kern w:val="0"/>
          <w:sz w:val="28"/>
          <w:szCs w:val="28"/>
        </w:rPr>
        <w:t>。</w:t>
      </w:r>
      <w:r w:rsidRPr="008676BB">
        <w:rPr>
          <w:rFonts w:ascii="仿宋" w:eastAsia="仿宋" w:hAnsi="仿宋" w:cs="宋体" w:hint="eastAsia"/>
          <w:kern w:val="0"/>
          <w:sz w:val="28"/>
          <w:szCs w:val="28"/>
        </w:rPr>
        <w:t>根据其在共同犯罪中的作用，不能认定为从犯。</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明知商铺存在售假情况，向店铺收取扩大经营费，变相从商铺售假行为中牟利，其违法所得应予追缴。其犯罪行为既非单位决议，亦非为单位谋取利益，属个人犯罪，不构成单位犯罪。</w:t>
      </w:r>
      <w:r>
        <w:rPr>
          <w:rFonts w:ascii="仿宋" w:eastAsia="仿宋" w:hAnsi="仿宋" w:cs="宋体" w:hint="eastAsia"/>
          <w:kern w:val="0"/>
          <w:sz w:val="28"/>
          <w:szCs w:val="28"/>
        </w:rPr>
        <w:t>另，</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明知是假冒注册商标的商品仍自行经营店铺予以销售，待售金额巨大，该行为亦构成假冒注册商标的商品罪。被告人</w:t>
      </w:r>
      <w:r w:rsidR="00B41349">
        <w:rPr>
          <w:rFonts w:ascii="仿宋" w:eastAsia="仿宋" w:hAnsi="仿宋" w:cs="宋体" w:hint="eastAsia"/>
          <w:kern w:val="0"/>
          <w:sz w:val="28"/>
          <w:szCs w:val="28"/>
        </w:rPr>
        <w:t>万某某</w:t>
      </w:r>
      <w:r w:rsidRPr="008676BB">
        <w:rPr>
          <w:rFonts w:ascii="仿宋" w:eastAsia="仿宋" w:hAnsi="仿宋" w:cs="宋体" w:hint="eastAsia"/>
          <w:kern w:val="0"/>
          <w:sz w:val="28"/>
          <w:szCs w:val="28"/>
        </w:rPr>
        <w:t>明知他人销售假冒注册商标的商品，仍为其提供装修帮助用于藏匿假冒商品、逃避查处，构成销售假冒注册商标的商品罪，应承担共同犯罪的刑事责任。根据其在共同犯罪中的作用，可认定为从犯。据此，判决被告人</w:t>
      </w:r>
      <w:r w:rsidR="00B41349">
        <w:rPr>
          <w:rFonts w:ascii="仿宋" w:eastAsia="仿宋" w:hAnsi="仿宋" w:cs="宋体" w:hint="eastAsia"/>
          <w:kern w:val="0"/>
          <w:sz w:val="28"/>
          <w:szCs w:val="28"/>
        </w:rPr>
        <w:t>李某某</w:t>
      </w:r>
      <w:r w:rsidRPr="008676BB">
        <w:rPr>
          <w:rFonts w:ascii="仿宋" w:eastAsia="仿宋" w:hAnsi="仿宋" w:cs="宋体" w:hint="eastAsia"/>
          <w:kern w:val="0"/>
          <w:sz w:val="28"/>
          <w:szCs w:val="28"/>
        </w:rPr>
        <w:t>犯销售假冒注册商标的商品罪，判处有期徒刑三年六个月，并处罚金人民币一百万元，追缴其违法所得；被告人</w:t>
      </w:r>
      <w:r w:rsidR="00B41349">
        <w:rPr>
          <w:rFonts w:ascii="仿宋" w:eastAsia="仿宋" w:hAnsi="仿宋" w:cs="宋体" w:hint="eastAsia"/>
          <w:kern w:val="0"/>
          <w:sz w:val="28"/>
          <w:szCs w:val="28"/>
        </w:rPr>
        <w:t>万某某</w:t>
      </w:r>
      <w:r w:rsidRPr="008676BB">
        <w:rPr>
          <w:rFonts w:ascii="仿宋" w:eastAsia="仿宋" w:hAnsi="仿宋" w:cs="宋体" w:hint="eastAsia"/>
          <w:kern w:val="0"/>
          <w:sz w:val="28"/>
          <w:szCs w:val="28"/>
        </w:rPr>
        <w:t>犯销售假冒注册商标的商品罪，判处有期徒刑一年十一个月，缓刑一年十一个月，并处罚金人民币两万元；扣押在案的假冒注册商标的商品，依法予以没收。</w:t>
      </w:r>
    </w:p>
    <w:p w:rsidR="00FF7D45" w:rsidRDefault="00FF7D45" w:rsidP="004F78FA">
      <w:pPr>
        <w:spacing w:line="480" w:lineRule="exact"/>
        <w:ind w:firstLine="562"/>
        <w:rPr>
          <w:rFonts w:ascii="仿宋" w:eastAsia="仿宋" w:hAnsi="仿宋" w:cs="宋体"/>
          <w:b/>
          <w:kern w:val="0"/>
          <w:sz w:val="28"/>
          <w:szCs w:val="28"/>
        </w:rPr>
      </w:pPr>
    </w:p>
    <w:p w:rsidR="004F78FA" w:rsidRPr="008676BB" w:rsidRDefault="004F78FA" w:rsidP="004F78FA">
      <w:pPr>
        <w:spacing w:line="480" w:lineRule="exact"/>
        <w:ind w:firstLine="562"/>
        <w:rPr>
          <w:rFonts w:ascii="仿宋" w:eastAsia="仿宋" w:hAnsi="仿宋" w:cs="宋体"/>
          <w:b/>
          <w:kern w:val="0"/>
          <w:sz w:val="28"/>
          <w:szCs w:val="28"/>
        </w:rPr>
      </w:pPr>
      <w:r w:rsidRPr="008676BB">
        <w:rPr>
          <w:rFonts w:ascii="仿宋" w:eastAsia="仿宋" w:hAnsi="仿宋" w:cs="宋体" w:hint="eastAsia"/>
          <w:b/>
          <w:kern w:val="0"/>
          <w:sz w:val="28"/>
          <w:szCs w:val="28"/>
        </w:rPr>
        <w:t>专家点评：</w:t>
      </w:r>
    </w:p>
    <w:p w:rsidR="004F78FA" w:rsidRPr="008676BB" w:rsidRDefault="004F78FA" w:rsidP="004F78FA">
      <w:pPr>
        <w:spacing w:line="480" w:lineRule="exact"/>
        <w:ind w:firstLine="560"/>
        <w:rPr>
          <w:rFonts w:ascii="仿宋" w:eastAsia="仿宋" w:hAnsi="仿宋" w:cs="仿宋"/>
          <w:sz w:val="28"/>
          <w:szCs w:val="28"/>
        </w:rPr>
      </w:pPr>
      <w:r w:rsidRPr="008676BB">
        <w:rPr>
          <w:rFonts w:ascii="仿宋" w:eastAsia="仿宋" w:hAnsi="仿宋" w:cs="仿宋" w:hint="eastAsia"/>
          <w:sz w:val="28"/>
          <w:szCs w:val="28"/>
        </w:rPr>
        <w:lastRenderedPageBreak/>
        <w:t>上海最大的“仿冒名牌商品集散地、侵犯注册商标重灾区”一度有“前有襄阳路，后有淘宝城”之称。此案发生于已取缔了襄阳路仿冒市场之后；发生在地处静安区上海最繁华之南京西路上的“淘宝城”。犯罪人</w:t>
      </w:r>
      <w:r w:rsidR="00B41349">
        <w:rPr>
          <w:rFonts w:ascii="仿宋" w:eastAsia="仿宋" w:hAnsi="仿宋" w:cs="仿宋" w:hint="eastAsia"/>
          <w:sz w:val="28"/>
          <w:szCs w:val="28"/>
        </w:rPr>
        <w:t>李某某</w:t>
      </w:r>
      <w:r w:rsidRPr="008676BB">
        <w:rPr>
          <w:rFonts w:ascii="仿宋" w:eastAsia="仿宋" w:hAnsi="仿宋" w:cs="仿宋" w:hint="eastAsia"/>
          <w:sz w:val="28"/>
          <w:szCs w:val="28"/>
        </w:rPr>
        <w:t>是“淘宝城”商城经营管理者韩城公司的实际控制人，其滥用权力，非法操纵管理着“淘宝城”商城之商业模式、经营规则、店铺租赁、财务运作包括记账方式等实际运行。其在“淘宝城”内容留商铺售假，放任商铺藏匿假货，向商铺通风报信以逃避查处，从而直接引发“淘宝城”内售假频发、装修藏匿、“黄牛”拉客、导游带团等不良业态与犯罪行为。譬如其曾向入驻“淘宝城”内各店铺收取所谓的“推广费</w:t>
      </w:r>
      <w:r w:rsidR="00737F93">
        <w:rPr>
          <w:rFonts w:ascii="仿宋" w:eastAsia="仿宋" w:hAnsi="仿宋" w:cs="仿宋" w:hint="eastAsia"/>
          <w:sz w:val="28"/>
          <w:szCs w:val="28"/>
        </w:rPr>
        <w:t>”</w:t>
      </w:r>
      <w:r w:rsidRPr="008676BB">
        <w:rPr>
          <w:rFonts w:ascii="仿宋" w:eastAsia="仿宋" w:hAnsi="仿宋" w:cs="仿宋" w:hint="eastAsia"/>
          <w:sz w:val="28"/>
          <w:szCs w:val="28"/>
        </w:rPr>
        <w:t>524万元，进而将其中388万元转发给诸多来上海的外国旅游团体之导游，诱导导游带领外国游客来“淘宝城”购买仿冒名牌商品。此外，案发前</w:t>
      </w:r>
      <w:r w:rsidR="00B41349">
        <w:rPr>
          <w:rFonts w:ascii="仿宋" w:eastAsia="仿宋" w:hAnsi="仿宋" w:cs="仿宋" w:hint="eastAsia"/>
          <w:sz w:val="28"/>
          <w:szCs w:val="28"/>
        </w:rPr>
        <w:t>李某某</w:t>
      </w:r>
      <w:r w:rsidRPr="008676BB">
        <w:rPr>
          <w:rFonts w:ascii="仿宋" w:eastAsia="仿宋" w:hAnsi="仿宋" w:cs="仿宋" w:hint="eastAsia"/>
          <w:sz w:val="28"/>
          <w:szCs w:val="28"/>
        </w:rPr>
        <w:t>已开始亲自经营“淘宝城”2楼9号店铺销售假冒名牌眼镜；并指使万</w:t>
      </w:r>
      <w:r w:rsidR="00B41349">
        <w:rPr>
          <w:rFonts w:ascii="仿宋" w:eastAsia="仿宋" w:hAnsi="仿宋" w:cs="仿宋" w:hint="eastAsia"/>
          <w:sz w:val="28"/>
          <w:szCs w:val="28"/>
        </w:rPr>
        <w:t>某某</w:t>
      </w:r>
      <w:r w:rsidRPr="008676BB">
        <w:rPr>
          <w:rFonts w:ascii="仿宋" w:eastAsia="仿宋" w:hAnsi="仿宋" w:cs="仿宋" w:hint="eastAsia"/>
          <w:sz w:val="28"/>
          <w:szCs w:val="28"/>
        </w:rPr>
        <w:t>为其进行了专门为藏匿假货的店铺装修。</w:t>
      </w:r>
    </w:p>
    <w:p w:rsidR="004F78FA" w:rsidRPr="008676BB" w:rsidRDefault="004F78FA" w:rsidP="004F78FA">
      <w:pPr>
        <w:spacing w:line="480" w:lineRule="exact"/>
        <w:ind w:firstLine="560"/>
        <w:rPr>
          <w:rFonts w:ascii="仿宋" w:eastAsia="仿宋" w:hAnsi="仿宋" w:cs="仿宋"/>
          <w:sz w:val="28"/>
          <w:szCs w:val="28"/>
        </w:rPr>
      </w:pPr>
      <w:r w:rsidRPr="008676BB">
        <w:rPr>
          <w:rFonts w:ascii="仿宋" w:eastAsia="仿宋" w:hAnsi="仿宋" w:cs="仿宋" w:hint="eastAsia"/>
          <w:sz w:val="28"/>
          <w:szCs w:val="28"/>
        </w:rPr>
        <w:t>本案经指定管辖普陀区人民法院审理，由静安区人民检察院指派检察官出庭支持公诉。本案主要焦点与审判特色在于：第一，</w:t>
      </w:r>
      <w:r w:rsidR="00B41349">
        <w:rPr>
          <w:rFonts w:ascii="仿宋" w:eastAsia="仿宋" w:hAnsi="仿宋" w:cs="仿宋" w:hint="eastAsia"/>
          <w:sz w:val="28"/>
          <w:szCs w:val="28"/>
        </w:rPr>
        <w:t>李某某</w:t>
      </w:r>
      <w:r w:rsidRPr="008676BB">
        <w:rPr>
          <w:rFonts w:ascii="仿宋" w:eastAsia="仿宋" w:hAnsi="仿宋" w:cs="仿宋" w:hint="eastAsia"/>
          <w:sz w:val="28"/>
          <w:szCs w:val="28"/>
        </w:rPr>
        <w:t>的上述犯罪行为既非单位决议，亦非为单位谋取利益，不构成单位犯罪，属于其个人犯罪。第二，</w:t>
      </w:r>
      <w:r w:rsidR="00B41349">
        <w:rPr>
          <w:rFonts w:ascii="仿宋" w:eastAsia="仿宋" w:hAnsi="仿宋" w:cs="仿宋" w:hint="eastAsia"/>
          <w:sz w:val="28"/>
          <w:szCs w:val="28"/>
        </w:rPr>
        <w:t>李某某</w:t>
      </w:r>
      <w:r w:rsidRPr="008676BB">
        <w:rPr>
          <w:rFonts w:ascii="仿宋" w:eastAsia="仿宋" w:hAnsi="仿宋" w:cs="仿宋" w:hint="eastAsia"/>
          <w:sz w:val="28"/>
          <w:szCs w:val="28"/>
        </w:rPr>
        <w:t>滥用落入其手中的“淘宝城”实际管理权力，为销售侵犯注册商标、仿冒名牌商品的犯罪活动提供便利条件及帮助，已构成销售假冒注册商标商品罪的共犯并且是主犯。第三、2楼9号店案发前</w:t>
      </w:r>
      <w:r w:rsidR="00B41349">
        <w:rPr>
          <w:rFonts w:ascii="仿宋" w:eastAsia="仿宋" w:hAnsi="仿宋" w:cs="仿宋" w:hint="eastAsia"/>
          <w:sz w:val="28"/>
          <w:szCs w:val="28"/>
        </w:rPr>
        <w:t>李某某</w:t>
      </w:r>
      <w:r w:rsidRPr="008676BB">
        <w:rPr>
          <w:rFonts w:ascii="仿宋" w:eastAsia="仿宋" w:hAnsi="仿宋" w:cs="仿宋" w:hint="eastAsia"/>
          <w:sz w:val="28"/>
          <w:szCs w:val="28"/>
        </w:rPr>
        <w:t>已开始亲自经营“淘宝城”2楼9号店铺销售假冒名牌眼镜，构成直接商标侵权犯罪。第四，为</w:t>
      </w:r>
      <w:r w:rsidR="00B41349">
        <w:rPr>
          <w:rFonts w:ascii="仿宋" w:eastAsia="仿宋" w:hAnsi="仿宋" w:cs="仿宋" w:hint="eastAsia"/>
          <w:sz w:val="28"/>
          <w:szCs w:val="28"/>
        </w:rPr>
        <w:t>李某某</w:t>
      </w:r>
      <w:r w:rsidRPr="008676BB">
        <w:rPr>
          <w:rFonts w:ascii="仿宋" w:eastAsia="仿宋" w:hAnsi="仿宋" w:cs="仿宋" w:hint="eastAsia"/>
          <w:sz w:val="28"/>
          <w:szCs w:val="28"/>
        </w:rPr>
        <w:t>与其他“淘宝城”店铺进行专门藏匿假货装修工程的</w:t>
      </w:r>
      <w:r w:rsidR="00B41349">
        <w:rPr>
          <w:rFonts w:ascii="仿宋" w:eastAsia="仿宋" w:hAnsi="仿宋" w:cs="仿宋" w:hint="eastAsia"/>
          <w:sz w:val="28"/>
          <w:szCs w:val="28"/>
        </w:rPr>
        <w:t>万某某</w:t>
      </w:r>
      <w:r w:rsidRPr="008676BB">
        <w:rPr>
          <w:rFonts w:ascii="仿宋" w:eastAsia="仿宋" w:hAnsi="仿宋" w:cs="仿宋" w:hint="eastAsia"/>
          <w:sz w:val="28"/>
          <w:szCs w:val="28"/>
        </w:rPr>
        <w:t>，为商标侵权犯罪活动提供便利条件及帮助，也已构成销售假冒注册商标商品罪的共犯但是从犯。“假冒老巢淘宝城，架桥铺路李某人，犯罪共犯系主犯，依法审判当严惩”。</w:t>
      </w:r>
    </w:p>
    <w:p w:rsidR="004F78FA" w:rsidRPr="008676BB" w:rsidRDefault="004F78FA" w:rsidP="004F78FA">
      <w:pPr>
        <w:spacing w:line="480" w:lineRule="exact"/>
        <w:ind w:firstLine="560"/>
        <w:rPr>
          <w:rFonts w:ascii="仿宋" w:eastAsia="仿宋" w:hAnsi="仿宋" w:cs="仿宋"/>
          <w:sz w:val="28"/>
          <w:szCs w:val="28"/>
        </w:rPr>
      </w:pPr>
      <w:r w:rsidRPr="008676BB">
        <w:rPr>
          <w:rFonts w:ascii="仿宋" w:eastAsia="仿宋" w:hAnsi="仿宋" w:cs="仿宋" w:hint="eastAsia"/>
          <w:sz w:val="28"/>
          <w:szCs w:val="28"/>
        </w:rPr>
        <w:t>（点评人：陶鑫良，教授、博士生导师，上海大学知识产权学院名誉院长）</w:t>
      </w:r>
    </w:p>
    <w:p w:rsidR="004F78FA" w:rsidRDefault="004F78FA">
      <w:pPr>
        <w:widowControl/>
        <w:spacing w:line="240" w:lineRule="auto"/>
        <w:ind w:firstLineChars="0" w:firstLine="0"/>
        <w:jc w:val="left"/>
      </w:pPr>
    </w:p>
    <w:p w:rsidR="004F78FA" w:rsidRPr="00590230" w:rsidRDefault="00B06101" w:rsidP="004F78FA">
      <w:pPr>
        <w:spacing w:line="480" w:lineRule="exact"/>
        <w:ind w:firstLine="562"/>
        <w:jc w:val="center"/>
        <w:rPr>
          <w:rFonts w:ascii="仿宋" w:eastAsia="仿宋" w:hAnsi="仿宋" w:cs="宋体"/>
          <w:b/>
          <w:sz w:val="28"/>
          <w:szCs w:val="28"/>
        </w:rPr>
      </w:pPr>
      <w:r>
        <w:rPr>
          <w:rFonts w:ascii="仿宋" w:eastAsia="仿宋" w:hAnsi="仿宋" w:cs="宋体" w:hint="eastAsia"/>
          <w:b/>
          <w:sz w:val="28"/>
          <w:szCs w:val="28"/>
        </w:rPr>
        <w:lastRenderedPageBreak/>
        <w:t>非替代关系产品市场下可将侵权人获利认定为犯罪金额</w:t>
      </w:r>
    </w:p>
    <w:p w:rsidR="004F78FA" w:rsidRPr="00590230" w:rsidRDefault="004F78FA" w:rsidP="004F78FA">
      <w:pPr>
        <w:spacing w:line="480" w:lineRule="exact"/>
        <w:ind w:firstLine="560"/>
        <w:jc w:val="center"/>
        <w:rPr>
          <w:rFonts w:ascii="仿宋" w:eastAsia="仿宋" w:hAnsi="仿宋" w:cs="宋体"/>
          <w:sz w:val="28"/>
          <w:szCs w:val="28"/>
        </w:rPr>
      </w:pPr>
      <w:r w:rsidRPr="00590230">
        <w:rPr>
          <w:rFonts w:ascii="仿宋" w:eastAsia="仿宋" w:hAnsi="仿宋" w:cs="宋体" w:hint="eastAsia"/>
          <w:sz w:val="28"/>
          <w:szCs w:val="28"/>
        </w:rPr>
        <w:t>——</w:t>
      </w:r>
      <w:r w:rsidR="00784C1C">
        <w:rPr>
          <w:rFonts w:ascii="仿宋" w:eastAsia="仿宋" w:hAnsi="仿宋" w:cs="宋体" w:hint="eastAsia"/>
          <w:sz w:val="28"/>
          <w:szCs w:val="28"/>
        </w:rPr>
        <w:t>于某某</w:t>
      </w:r>
      <w:r w:rsidRPr="00590230">
        <w:rPr>
          <w:rFonts w:ascii="仿宋" w:eastAsia="仿宋" w:hAnsi="仿宋" w:cs="宋体" w:hint="eastAsia"/>
          <w:sz w:val="28"/>
          <w:szCs w:val="28"/>
        </w:rPr>
        <w:t>、</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等侵犯商业秘密案</w:t>
      </w:r>
    </w:p>
    <w:p w:rsidR="00FF7D45" w:rsidRDefault="00FF7D45" w:rsidP="004F78FA">
      <w:pPr>
        <w:adjustRightInd w:val="0"/>
        <w:snapToGrid w:val="0"/>
        <w:spacing w:line="480" w:lineRule="exact"/>
        <w:ind w:firstLine="562"/>
        <w:jc w:val="left"/>
        <w:rPr>
          <w:rFonts w:ascii="仿宋" w:eastAsia="仿宋" w:hAnsi="仿宋" w:cs="宋体"/>
          <w:b/>
          <w:sz w:val="28"/>
          <w:szCs w:val="28"/>
        </w:rPr>
      </w:pPr>
    </w:p>
    <w:p w:rsidR="004F78FA" w:rsidRPr="00590230" w:rsidRDefault="004F78FA" w:rsidP="004F78FA">
      <w:pPr>
        <w:adjustRightInd w:val="0"/>
        <w:snapToGrid w:val="0"/>
        <w:spacing w:line="480" w:lineRule="exact"/>
        <w:ind w:firstLine="562"/>
        <w:jc w:val="left"/>
        <w:rPr>
          <w:rFonts w:ascii="仿宋" w:eastAsia="仿宋" w:hAnsi="仿宋" w:cs="宋体"/>
          <w:b/>
          <w:sz w:val="28"/>
          <w:szCs w:val="28"/>
        </w:rPr>
      </w:pPr>
      <w:r w:rsidRPr="00590230">
        <w:rPr>
          <w:rFonts w:ascii="仿宋" w:eastAsia="仿宋" w:hAnsi="仿宋" w:cs="宋体" w:hint="eastAsia"/>
          <w:b/>
          <w:sz w:val="28"/>
          <w:szCs w:val="28"/>
        </w:rPr>
        <w:t>案情简介：</w:t>
      </w:r>
    </w:p>
    <w:p w:rsidR="004F78FA" w:rsidRPr="00590230" w:rsidRDefault="004F78FA" w:rsidP="004F78FA">
      <w:pPr>
        <w:spacing w:line="480" w:lineRule="exact"/>
        <w:ind w:firstLine="560"/>
        <w:rPr>
          <w:rFonts w:ascii="仿宋" w:eastAsia="仿宋" w:hAnsi="仿宋" w:cs="宋体"/>
          <w:sz w:val="28"/>
          <w:szCs w:val="28"/>
        </w:rPr>
      </w:pPr>
      <w:r w:rsidRPr="00590230">
        <w:rPr>
          <w:rFonts w:ascii="仿宋" w:eastAsia="仿宋" w:hAnsi="仿宋" w:cs="宋体" w:hint="eastAsia"/>
          <w:sz w:val="28"/>
          <w:szCs w:val="28"/>
        </w:rPr>
        <w:t>被害单位</w:t>
      </w:r>
      <w:r w:rsidR="00784C1C">
        <w:rPr>
          <w:rFonts w:ascii="仿宋" w:eastAsia="仿宋" w:hAnsi="仿宋" w:cs="宋体" w:hint="eastAsia"/>
          <w:sz w:val="28"/>
          <w:szCs w:val="28"/>
        </w:rPr>
        <w:t>恩某某公司</w:t>
      </w:r>
      <w:r w:rsidRPr="00590230">
        <w:rPr>
          <w:rFonts w:ascii="仿宋" w:eastAsia="仿宋" w:hAnsi="仿宋" w:cs="宋体" w:hint="eastAsia"/>
          <w:sz w:val="28"/>
          <w:szCs w:val="28"/>
        </w:rPr>
        <w:t>经关联方授权，获得涉案汽车天窗相关技术信息用于生产经营，并采取的相应的保密措施。经鉴定，上述技术信息属于不为公众所知悉的技术信息。2012年4月至2014年2月被告人</w:t>
      </w:r>
      <w:r w:rsidR="00784C1C">
        <w:rPr>
          <w:rFonts w:ascii="仿宋" w:eastAsia="仿宋" w:hAnsi="仿宋" w:cs="宋体" w:hint="eastAsia"/>
          <w:sz w:val="28"/>
          <w:szCs w:val="28"/>
        </w:rPr>
        <w:t>于某某</w:t>
      </w:r>
      <w:r w:rsidRPr="00590230">
        <w:rPr>
          <w:rFonts w:ascii="仿宋" w:eastAsia="仿宋" w:hAnsi="仿宋" w:cs="宋体" w:hint="eastAsia"/>
          <w:sz w:val="28"/>
          <w:szCs w:val="28"/>
        </w:rPr>
        <w:t>在</w:t>
      </w:r>
      <w:r w:rsidR="00784C1C">
        <w:rPr>
          <w:rFonts w:ascii="仿宋" w:eastAsia="仿宋" w:hAnsi="仿宋" w:cs="宋体" w:hint="eastAsia"/>
          <w:sz w:val="28"/>
          <w:szCs w:val="28"/>
        </w:rPr>
        <w:t>恩某某公司</w:t>
      </w:r>
      <w:r w:rsidRPr="00590230">
        <w:rPr>
          <w:rFonts w:ascii="仿宋" w:eastAsia="仿宋" w:hAnsi="仿宋" w:cs="宋体" w:hint="eastAsia"/>
          <w:sz w:val="28"/>
          <w:szCs w:val="28"/>
        </w:rPr>
        <w:t>担任产品工程师，参与天窗项目工作，曾接触上述技术信息。2014年3月其离职后入职被告单位</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，负责全景天窗的研发工作。期间，</w:t>
      </w:r>
      <w:r w:rsidR="00784C1C">
        <w:rPr>
          <w:rFonts w:ascii="仿宋" w:eastAsia="仿宋" w:hAnsi="仿宋" w:cs="宋体" w:hint="eastAsia"/>
          <w:sz w:val="28"/>
          <w:szCs w:val="28"/>
        </w:rPr>
        <w:t>于某某</w:t>
      </w:r>
      <w:r w:rsidRPr="00590230">
        <w:rPr>
          <w:rFonts w:ascii="仿宋" w:eastAsia="仿宋" w:hAnsi="仿宋" w:cs="宋体" w:hint="eastAsia"/>
          <w:sz w:val="28"/>
          <w:szCs w:val="28"/>
        </w:rPr>
        <w:t>借从境外个人处购买天窗技术图纸之名，违反与</w:t>
      </w:r>
      <w:r w:rsidR="00784C1C">
        <w:rPr>
          <w:rFonts w:ascii="仿宋" w:eastAsia="仿宋" w:hAnsi="仿宋" w:cs="宋体" w:hint="eastAsia"/>
          <w:sz w:val="28"/>
          <w:szCs w:val="28"/>
        </w:rPr>
        <w:t>恩某某公司</w:t>
      </w:r>
      <w:r w:rsidRPr="00590230">
        <w:rPr>
          <w:rFonts w:ascii="仿宋" w:eastAsia="仿宋" w:hAnsi="仿宋" w:cs="宋体" w:hint="eastAsia"/>
          <w:sz w:val="28"/>
          <w:szCs w:val="28"/>
        </w:rPr>
        <w:t>之间的保密约定，向</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提供了带有</w:t>
      </w:r>
      <w:r w:rsidR="00784C1C">
        <w:rPr>
          <w:rFonts w:ascii="仿宋" w:eastAsia="仿宋" w:hAnsi="仿宋" w:cs="宋体" w:hint="eastAsia"/>
          <w:sz w:val="28"/>
          <w:szCs w:val="28"/>
        </w:rPr>
        <w:t>恩某某公司</w:t>
      </w:r>
      <w:r w:rsidRPr="00590230">
        <w:rPr>
          <w:rFonts w:ascii="仿宋" w:eastAsia="仿宋" w:hAnsi="仿宋" w:cs="宋体" w:hint="eastAsia"/>
          <w:sz w:val="28"/>
          <w:szCs w:val="28"/>
        </w:rPr>
        <w:t>标识及项目代号的技术信息资料，用于产品研发。</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在应知可能存在非法披露他人技术秘密的情况下，仍未予以谨慎审查，即将相关技术信息资料用于相关汽车天窗产品的研发及生产销售。</w:t>
      </w:r>
      <w:r w:rsidR="00784C1C">
        <w:rPr>
          <w:rFonts w:ascii="仿宋" w:eastAsia="仿宋" w:hAnsi="仿宋" w:cs="宋体" w:hint="eastAsia"/>
          <w:sz w:val="28"/>
          <w:szCs w:val="28"/>
        </w:rPr>
        <w:t>于某某</w:t>
      </w:r>
      <w:r w:rsidRPr="00590230">
        <w:rPr>
          <w:rFonts w:ascii="仿宋" w:eastAsia="仿宋" w:hAnsi="仿宋" w:cs="宋体" w:hint="eastAsia"/>
          <w:sz w:val="28"/>
          <w:szCs w:val="28"/>
        </w:rPr>
        <w:t>、</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法定代表人</w:t>
      </w:r>
      <w:r w:rsidR="00784C1C">
        <w:rPr>
          <w:rFonts w:ascii="仿宋" w:eastAsia="仿宋" w:hAnsi="仿宋" w:cs="宋体" w:hint="eastAsia"/>
          <w:sz w:val="28"/>
          <w:szCs w:val="28"/>
        </w:rPr>
        <w:t>贾某某</w:t>
      </w:r>
      <w:r w:rsidRPr="00590230">
        <w:rPr>
          <w:rFonts w:ascii="仿宋" w:eastAsia="仿宋" w:hAnsi="仿宋" w:cs="宋体" w:hint="eastAsia"/>
          <w:sz w:val="28"/>
          <w:szCs w:val="28"/>
        </w:rPr>
        <w:t>还以共同研发人身份，对部分技术申请实用新型专利。经鉴定，</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部分汽车天窗产品、实用新型专利及计算机内部分电子数据与涉案技术信息实质相同或具有同一性，2015年9月至2018年6月期间销售上述相关天窗产品净利润为1298余万元。</w:t>
      </w:r>
    </w:p>
    <w:p w:rsidR="004F78FA" w:rsidRPr="00590230" w:rsidRDefault="004F78FA" w:rsidP="004F78FA">
      <w:pPr>
        <w:snapToGrid w:val="0"/>
        <w:spacing w:line="480" w:lineRule="exact"/>
        <w:ind w:firstLine="560"/>
        <w:rPr>
          <w:rFonts w:ascii="仿宋" w:eastAsia="仿宋" w:hAnsi="仿宋" w:cs="宋体"/>
          <w:sz w:val="28"/>
          <w:szCs w:val="28"/>
        </w:rPr>
      </w:pPr>
      <w:r w:rsidRPr="00590230">
        <w:rPr>
          <w:rFonts w:ascii="仿宋" w:eastAsia="仿宋" w:hAnsi="仿宋" w:cs="宋体" w:hint="eastAsia"/>
          <w:sz w:val="28"/>
          <w:szCs w:val="28"/>
        </w:rPr>
        <w:t>公诉机关指控，被告人</w:t>
      </w:r>
      <w:r w:rsidR="00784C1C">
        <w:rPr>
          <w:rFonts w:ascii="仿宋" w:eastAsia="仿宋" w:hAnsi="仿宋" w:cs="宋体" w:hint="eastAsia"/>
          <w:sz w:val="28"/>
          <w:szCs w:val="28"/>
        </w:rPr>
        <w:t>于某某</w:t>
      </w:r>
      <w:r w:rsidRPr="00590230">
        <w:rPr>
          <w:rFonts w:ascii="仿宋" w:eastAsia="仿宋" w:hAnsi="仿宋" w:cs="宋体" w:hint="eastAsia"/>
          <w:sz w:val="28"/>
          <w:szCs w:val="28"/>
        </w:rPr>
        <w:t>、被告单位</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及其实际经营负责人</w:t>
      </w:r>
      <w:r w:rsidR="00784C1C">
        <w:rPr>
          <w:rFonts w:ascii="仿宋" w:eastAsia="仿宋" w:hAnsi="仿宋" w:cs="宋体" w:hint="eastAsia"/>
          <w:sz w:val="28"/>
          <w:szCs w:val="28"/>
        </w:rPr>
        <w:t>贾某某</w:t>
      </w:r>
      <w:r w:rsidRPr="00590230">
        <w:rPr>
          <w:rFonts w:ascii="仿宋" w:eastAsia="仿宋" w:hAnsi="仿宋" w:cs="宋体" w:hint="eastAsia"/>
          <w:sz w:val="28"/>
          <w:szCs w:val="28"/>
        </w:rPr>
        <w:t>构成侵犯商业秘密罪。</w:t>
      </w:r>
      <w:r w:rsidR="00784C1C">
        <w:rPr>
          <w:rFonts w:ascii="仿宋" w:eastAsia="仿宋" w:hAnsi="仿宋" w:cs="宋体" w:hint="eastAsia"/>
          <w:sz w:val="28"/>
          <w:szCs w:val="28"/>
        </w:rPr>
        <w:t>于某某</w:t>
      </w:r>
      <w:r w:rsidRPr="00590230">
        <w:rPr>
          <w:rFonts w:ascii="仿宋" w:eastAsia="仿宋" w:hAnsi="仿宋" w:cs="宋体" w:hint="eastAsia"/>
          <w:sz w:val="28"/>
          <w:szCs w:val="28"/>
        </w:rPr>
        <w:t>及其辩护人作无罪辩护，对指控的犯罪事实及罪名均表示异议。</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及</w:t>
      </w:r>
      <w:r w:rsidR="00784C1C">
        <w:rPr>
          <w:rFonts w:ascii="仿宋" w:eastAsia="仿宋" w:hAnsi="仿宋" w:cs="宋体" w:hint="eastAsia"/>
          <w:sz w:val="28"/>
          <w:szCs w:val="28"/>
        </w:rPr>
        <w:t>贾某某</w:t>
      </w:r>
      <w:r w:rsidRPr="00590230">
        <w:rPr>
          <w:rFonts w:ascii="仿宋" w:eastAsia="仿宋" w:hAnsi="仿宋" w:cs="宋体" w:hint="eastAsia"/>
          <w:sz w:val="28"/>
          <w:szCs w:val="28"/>
        </w:rPr>
        <w:t>对指控的犯罪事实及罪名均无异议，但认为计算犯罪金额时应考虑技术信息贡献度和占比，进行相应折算。审理期间，</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w:t>
      </w:r>
      <w:r w:rsidR="00784C1C">
        <w:rPr>
          <w:rFonts w:ascii="仿宋" w:eastAsia="仿宋" w:hAnsi="仿宋" w:cs="宋体" w:hint="eastAsia"/>
          <w:sz w:val="28"/>
          <w:szCs w:val="28"/>
        </w:rPr>
        <w:t>贾某某</w:t>
      </w:r>
      <w:r w:rsidRPr="00590230">
        <w:rPr>
          <w:rFonts w:ascii="仿宋" w:eastAsia="仿宋" w:hAnsi="仿宋" w:cs="宋体" w:hint="eastAsia"/>
          <w:sz w:val="28"/>
          <w:szCs w:val="28"/>
        </w:rPr>
        <w:t>与</w:t>
      </w:r>
      <w:r w:rsidR="00784C1C">
        <w:rPr>
          <w:rFonts w:ascii="仿宋" w:eastAsia="仿宋" w:hAnsi="仿宋" w:cs="宋体" w:hint="eastAsia"/>
          <w:sz w:val="28"/>
          <w:szCs w:val="28"/>
        </w:rPr>
        <w:t>恩某某公司</w:t>
      </w:r>
      <w:r w:rsidRPr="00590230">
        <w:rPr>
          <w:rFonts w:ascii="仿宋" w:eastAsia="仿宋" w:hAnsi="仿宋" w:cs="宋体" w:hint="eastAsia"/>
          <w:sz w:val="28"/>
          <w:szCs w:val="28"/>
        </w:rPr>
        <w:t>就侵犯商业秘密达成和解协议，共计赔偿778.8万元，并获</w:t>
      </w:r>
      <w:r w:rsidR="00784C1C">
        <w:rPr>
          <w:rFonts w:ascii="仿宋" w:eastAsia="仿宋" w:hAnsi="仿宋" w:cs="宋体" w:hint="eastAsia"/>
          <w:sz w:val="28"/>
          <w:szCs w:val="28"/>
        </w:rPr>
        <w:t>恩某某公司</w:t>
      </w:r>
      <w:r w:rsidRPr="00590230">
        <w:rPr>
          <w:rFonts w:ascii="仿宋" w:eastAsia="仿宋" w:hAnsi="仿宋" w:cs="宋体" w:hint="eastAsia"/>
          <w:sz w:val="28"/>
          <w:szCs w:val="28"/>
        </w:rPr>
        <w:t>谅解。</w:t>
      </w:r>
    </w:p>
    <w:p w:rsidR="00FF7D45" w:rsidRDefault="00FF7D45" w:rsidP="004F78FA">
      <w:pPr>
        <w:spacing w:line="480" w:lineRule="exact"/>
        <w:ind w:firstLine="562"/>
        <w:rPr>
          <w:rFonts w:ascii="仿宋" w:eastAsia="仿宋" w:hAnsi="仿宋" w:cs="宋体"/>
          <w:b/>
          <w:sz w:val="28"/>
          <w:szCs w:val="28"/>
        </w:rPr>
      </w:pPr>
    </w:p>
    <w:p w:rsidR="004F78FA" w:rsidRPr="00590230" w:rsidRDefault="004F78FA" w:rsidP="004F78FA">
      <w:pPr>
        <w:spacing w:line="480" w:lineRule="exact"/>
        <w:ind w:firstLine="562"/>
        <w:rPr>
          <w:rFonts w:ascii="仿宋" w:eastAsia="仿宋" w:hAnsi="仿宋" w:cs="宋体"/>
          <w:b/>
          <w:sz w:val="28"/>
          <w:szCs w:val="28"/>
        </w:rPr>
      </w:pPr>
      <w:r w:rsidRPr="00590230">
        <w:rPr>
          <w:rFonts w:ascii="仿宋" w:eastAsia="仿宋" w:hAnsi="仿宋" w:cs="宋体" w:hint="eastAsia"/>
          <w:b/>
          <w:sz w:val="28"/>
          <w:szCs w:val="28"/>
        </w:rPr>
        <w:t>裁判理由：</w:t>
      </w:r>
    </w:p>
    <w:p w:rsidR="004F78FA" w:rsidRPr="00590230" w:rsidRDefault="004F78FA" w:rsidP="004F78FA">
      <w:pPr>
        <w:spacing w:line="480" w:lineRule="exact"/>
        <w:ind w:firstLine="560"/>
        <w:rPr>
          <w:rFonts w:ascii="仿宋" w:eastAsia="仿宋" w:hAnsi="仿宋" w:cs="宋体"/>
          <w:sz w:val="28"/>
          <w:szCs w:val="28"/>
        </w:rPr>
      </w:pPr>
      <w:r w:rsidRPr="00590230">
        <w:rPr>
          <w:rFonts w:ascii="仿宋" w:eastAsia="仿宋" w:hAnsi="仿宋" w:cs="宋体" w:hint="eastAsia"/>
          <w:sz w:val="28"/>
          <w:szCs w:val="28"/>
        </w:rPr>
        <w:t>法院认为，鉴定意见就涉案技术的查新范围和鉴定方法合理，涉</w:t>
      </w:r>
      <w:r w:rsidRPr="00590230">
        <w:rPr>
          <w:rFonts w:ascii="仿宋" w:eastAsia="仿宋" w:hAnsi="仿宋" w:cs="宋体" w:hint="eastAsia"/>
          <w:sz w:val="28"/>
          <w:szCs w:val="28"/>
        </w:rPr>
        <w:lastRenderedPageBreak/>
        <w:t>案技术信息属于不为公众所知悉的信息，具备价值性、实用性的特征，且权利人采取了相应的保密措施，构成商业秘密。</w:t>
      </w:r>
      <w:r w:rsidR="00784C1C">
        <w:rPr>
          <w:rFonts w:ascii="仿宋" w:eastAsia="仿宋" w:hAnsi="仿宋" w:cs="宋体" w:hint="eastAsia"/>
          <w:sz w:val="28"/>
          <w:szCs w:val="28"/>
        </w:rPr>
        <w:t>于某某</w:t>
      </w:r>
      <w:r w:rsidRPr="00590230">
        <w:rPr>
          <w:rFonts w:ascii="仿宋" w:eastAsia="仿宋" w:hAnsi="仿宋" w:cs="宋体" w:hint="eastAsia"/>
          <w:sz w:val="28"/>
          <w:szCs w:val="28"/>
        </w:rPr>
        <w:t>接触涉案技术秘密，违反与权利人的保密约定，披露、使用、允许</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使用其所掌握的商业秘密，属于侵犯商业秘密的行为。</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虽有向案外人购买图纸之名，但获取来源为竞争对手的前员工，实际交易状态中合同签订、付款方式等均不符合一般商业惯例，商业秘密载体包含竞争对手商业标识，可认定其应知</w:t>
      </w:r>
      <w:r w:rsidR="00784C1C">
        <w:rPr>
          <w:rFonts w:ascii="仿宋" w:eastAsia="仿宋" w:hAnsi="仿宋" w:cs="宋体" w:hint="eastAsia"/>
          <w:sz w:val="28"/>
          <w:szCs w:val="28"/>
        </w:rPr>
        <w:t>于某某</w:t>
      </w:r>
      <w:r w:rsidRPr="00590230">
        <w:rPr>
          <w:rFonts w:ascii="仿宋" w:eastAsia="仿宋" w:hAnsi="仿宋" w:cs="宋体" w:hint="eastAsia"/>
          <w:sz w:val="28"/>
          <w:szCs w:val="28"/>
        </w:rPr>
        <w:t>的侵权行为，仍获取、使用及披露涉案商业秘密，主观上具有明显故意，亦构成侵犯商业秘密的行为。</w:t>
      </w:r>
    </w:p>
    <w:p w:rsidR="004F78FA" w:rsidRPr="00590230" w:rsidRDefault="004F78FA" w:rsidP="004F78FA">
      <w:pPr>
        <w:spacing w:line="480" w:lineRule="exact"/>
        <w:ind w:firstLine="560"/>
        <w:rPr>
          <w:rFonts w:ascii="仿宋" w:eastAsia="仿宋" w:hAnsi="仿宋" w:cs="宋体"/>
          <w:sz w:val="28"/>
          <w:szCs w:val="28"/>
        </w:rPr>
      </w:pPr>
      <w:r w:rsidRPr="00590230">
        <w:rPr>
          <w:rFonts w:ascii="仿宋" w:eastAsia="仿宋" w:hAnsi="仿宋" w:cs="宋体" w:hint="eastAsia"/>
          <w:sz w:val="28"/>
          <w:szCs w:val="28"/>
        </w:rPr>
        <w:t>本案中，被告单位将权利人商业秘密申请了相关专利，致使商业秘密沦为公众知悉的信息而丧失秘密性，势必给权利人造成了损失，但因涉案技术秘密本身具有技术迭代升级的特性，较难准确评估其自身价值，因此采取从权利人损失或侵权人获利的角度评价犯罪数额，</w:t>
      </w:r>
      <w:r w:rsidR="006D6272">
        <w:rPr>
          <w:rFonts w:ascii="仿宋" w:eastAsia="仿宋" w:hAnsi="仿宋" w:cs="宋体" w:hint="eastAsia"/>
          <w:sz w:val="28"/>
          <w:szCs w:val="28"/>
        </w:rPr>
        <w:t>更</w:t>
      </w:r>
      <w:r w:rsidRPr="00590230">
        <w:rPr>
          <w:rFonts w:ascii="仿宋" w:eastAsia="仿宋" w:hAnsi="仿宋" w:cs="宋体" w:hint="eastAsia"/>
          <w:sz w:val="28"/>
          <w:szCs w:val="28"/>
        </w:rPr>
        <w:t>具客观性、合理性。考虑到该案的商业场景，未有证据显示</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的客户与权利人的客户具有重合交叉关系，汽车天窗产品的供应市场亦非权利人独占，因此认定侵权产品与权利人产品未形成非此即彼的直接替代关系，故采取侵权人获利的计算方式更为客观。该案中，被告单位在非法使用技术秘密之前，并不具有生产相应天窗产品的能力，因此可以认定该技术秘密构成体现天窗产品技术功能和效果的关键部件，处于产品核心地位。审计鉴定并非指向整车，而是已剥离出天窗部分净利润，作为整体天窗成品，仅作整体销售，并不会脱离关键部件而拆分并单独销售玻璃、封条、线束等零部件。经鉴定侵权天窗产品已覆盖全部机械组技术秘点，因此以侵权天窗产品整体净利润1200余万元计算犯罪数额，不再考虑贡献度及占比而进行比例折算。</w:t>
      </w:r>
    </w:p>
    <w:p w:rsidR="004F78FA" w:rsidRPr="00590230" w:rsidRDefault="004F78FA" w:rsidP="004F78FA">
      <w:pPr>
        <w:spacing w:line="480" w:lineRule="exact"/>
        <w:ind w:firstLine="560"/>
        <w:rPr>
          <w:rFonts w:ascii="仿宋" w:eastAsia="仿宋" w:hAnsi="仿宋" w:cs="宋体"/>
          <w:sz w:val="28"/>
          <w:szCs w:val="28"/>
        </w:rPr>
      </w:pPr>
      <w:r w:rsidRPr="00590230">
        <w:rPr>
          <w:rFonts w:ascii="仿宋" w:eastAsia="仿宋" w:hAnsi="仿宋" w:cs="宋体" w:hint="eastAsia"/>
          <w:sz w:val="28"/>
          <w:szCs w:val="28"/>
        </w:rPr>
        <w:t>法院以侵犯商业秘密罪判处</w:t>
      </w:r>
      <w:r w:rsidR="00784C1C">
        <w:rPr>
          <w:rFonts w:ascii="仿宋" w:eastAsia="仿宋" w:hAnsi="仿宋" w:cs="宋体" w:hint="eastAsia"/>
          <w:sz w:val="28"/>
          <w:szCs w:val="28"/>
        </w:rPr>
        <w:t>于某某</w:t>
      </w:r>
      <w:r w:rsidRPr="00590230">
        <w:rPr>
          <w:rFonts w:ascii="仿宋" w:eastAsia="仿宋" w:hAnsi="仿宋" w:cs="宋体" w:hint="eastAsia"/>
          <w:sz w:val="28"/>
          <w:szCs w:val="28"/>
        </w:rPr>
        <w:t>有期徒刑五年，并处罚金五十万元；以侵犯商业秘密罪判处</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罚金四百万元；以侵犯商业秘密罪判处</w:t>
      </w:r>
      <w:r w:rsidR="00784C1C">
        <w:rPr>
          <w:rFonts w:ascii="仿宋" w:eastAsia="仿宋" w:hAnsi="仿宋" w:cs="宋体" w:hint="eastAsia"/>
          <w:sz w:val="28"/>
          <w:szCs w:val="28"/>
        </w:rPr>
        <w:t>贾某某</w:t>
      </w:r>
      <w:r w:rsidRPr="00590230">
        <w:rPr>
          <w:rFonts w:ascii="仿宋" w:eastAsia="仿宋" w:hAnsi="仿宋" w:cs="宋体" w:hint="eastAsia"/>
          <w:sz w:val="28"/>
          <w:szCs w:val="28"/>
        </w:rPr>
        <w:t>有期徒刑三年，缓刑三年，并处罚金人民币三十五万元；违法所得依法予以追缴。</w:t>
      </w:r>
    </w:p>
    <w:p w:rsidR="00FF7D45" w:rsidRDefault="00FF7D45" w:rsidP="004F78FA">
      <w:pPr>
        <w:spacing w:line="480" w:lineRule="exact"/>
        <w:ind w:firstLine="562"/>
        <w:rPr>
          <w:rFonts w:ascii="仿宋" w:eastAsia="仿宋" w:hAnsi="仿宋" w:cs="宋体"/>
          <w:b/>
          <w:sz w:val="28"/>
          <w:szCs w:val="28"/>
        </w:rPr>
      </w:pPr>
    </w:p>
    <w:p w:rsidR="004F78FA" w:rsidRPr="00590230" w:rsidRDefault="004F78FA" w:rsidP="004F78FA">
      <w:pPr>
        <w:spacing w:line="480" w:lineRule="exact"/>
        <w:ind w:firstLine="562"/>
        <w:rPr>
          <w:rFonts w:ascii="仿宋" w:eastAsia="仿宋" w:hAnsi="仿宋" w:cs="宋体"/>
          <w:b/>
          <w:sz w:val="28"/>
          <w:szCs w:val="28"/>
        </w:rPr>
      </w:pPr>
      <w:r w:rsidRPr="00590230">
        <w:rPr>
          <w:rFonts w:ascii="仿宋" w:eastAsia="仿宋" w:hAnsi="仿宋" w:cs="宋体" w:hint="eastAsia"/>
          <w:b/>
          <w:sz w:val="28"/>
          <w:szCs w:val="28"/>
        </w:rPr>
        <w:lastRenderedPageBreak/>
        <w:t>专家点评：</w:t>
      </w:r>
    </w:p>
    <w:p w:rsidR="004F78FA" w:rsidRPr="00590230" w:rsidRDefault="004F78FA" w:rsidP="004F78FA">
      <w:pPr>
        <w:spacing w:line="480" w:lineRule="exact"/>
        <w:ind w:firstLine="560"/>
        <w:rPr>
          <w:rFonts w:ascii="仿宋" w:eastAsia="仿宋" w:hAnsi="仿宋" w:cs="宋体"/>
          <w:sz w:val="28"/>
          <w:szCs w:val="28"/>
        </w:rPr>
      </w:pPr>
      <w:r w:rsidRPr="00590230">
        <w:rPr>
          <w:rFonts w:ascii="仿宋" w:eastAsia="仿宋" w:hAnsi="仿宋" w:cs="宋体" w:hint="eastAsia"/>
          <w:sz w:val="28"/>
          <w:szCs w:val="28"/>
        </w:rPr>
        <w:t>本案法律适用方面的价值主体表现在两个方面：</w:t>
      </w:r>
    </w:p>
    <w:p w:rsidR="004F78FA" w:rsidRPr="00590230" w:rsidRDefault="004F78FA" w:rsidP="004F78FA">
      <w:pPr>
        <w:spacing w:line="480" w:lineRule="exact"/>
        <w:ind w:firstLine="560"/>
        <w:rPr>
          <w:rFonts w:ascii="仿宋" w:eastAsia="仿宋" w:hAnsi="仿宋" w:cs="宋体"/>
          <w:sz w:val="28"/>
          <w:szCs w:val="28"/>
        </w:rPr>
      </w:pPr>
      <w:r w:rsidRPr="00590230">
        <w:rPr>
          <w:rFonts w:ascii="仿宋" w:eastAsia="仿宋" w:hAnsi="仿宋" w:cs="宋体" w:hint="eastAsia"/>
          <w:sz w:val="28"/>
          <w:szCs w:val="28"/>
        </w:rPr>
        <w:t>一是侵犯商业秘密罪“共同犯罪”的认定。根据我国刑法第二十五条的规定，二人以上共同故意犯罪构成共同犯罪。本案中，被告人</w:t>
      </w:r>
      <w:r w:rsidR="00784C1C" w:rsidRPr="00590230">
        <w:rPr>
          <w:rFonts w:ascii="仿宋" w:eastAsia="仿宋" w:hAnsi="仿宋" w:cs="宋体" w:hint="eastAsia"/>
          <w:sz w:val="28"/>
          <w:szCs w:val="28"/>
        </w:rPr>
        <w:t>于</w:t>
      </w:r>
      <w:r w:rsidR="00784C1C">
        <w:rPr>
          <w:rFonts w:ascii="仿宋" w:eastAsia="仿宋" w:hAnsi="仿宋" w:cs="宋体" w:hint="eastAsia"/>
          <w:sz w:val="28"/>
          <w:szCs w:val="28"/>
        </w:rPr>
        <w:t>某某</w:t>
      </w:r>
      <w:r w:rsidRPr="00590230">
        <w:rPr>
          <w:rFonts w:ascii="仿宋" w:eastAsia="仿宋" w:hAnsi="仿宋" w:cs="宋体" w:hint="eastAsia"/>
          <w:sz w:val="28"/>
          <w:szCs w:val="28"/>
        </w:rPr>
        <w:t>违反与原公司的保密协议，虚构从境外人员处购买技术图纸的名义，向被告单位</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出售原公司技术秘密图纸并非法获利，侵犯商业秘密的直接故意十分明显；而被告单位</w:t>
      </w:r>
      <w:r w:rsidR="00784C1C">
        <w:rPr>
          <w:rFonts w:ascii="仿宋" w:eastAsia="仿宋" w:hAnsi="仿宋" w:cs="宋体" w:hint="eastAsia"/>
          <w:sz w:val="28"/>
          <w:szCs w:val="28"/>
        </w:rPr>
        <w:t>万某公司</w:t>
      </w:r>
      <w:r w:rsidRPr="00590230">
        <w:rPr>
          <w:rFonts w:ascii="仿宋" w:eastAsia="仿宋" w:hAnsi="仿宋" w:cs="宋体" w:hint="eastAsia"/>
          <w:sz w:val="28"/>
          <w:szCs w:val="28"/>
        </w:rPr>
        <w:t>及其实际经营负责人</w:t>
      </w:r>
      <w:r w:rsidR="00784C1C">
        <w:rPr>
          <w:rFonts w:ascii="仿宋" w:eastAsia="仿宋" w:hAnsi="仿宋" w:cs="宋体" w:hint="eastAsia"/>
          <w:sz w:val="28"/>
          <w:szCs w:val="28"/>
        </w:rPr>
        <w:t>贾某某</w:t>
      </w:r>
      <w:r w:rsidRPr="00590230">
        <w:rPr>
          <w:rFonts w:ascii="仿宋" w:eastAsia="仿宋" w:hAnsi="仿宋" w:cs="宋体" w:hint="eastAsia"/>
          <w:sz w:val="28"/>
          <w:szCs w:val="28"/>
        </w:rPr>
        <w:t>明知</w:t>
      </w:r>
      <w:r w:rsidR="00784C1C">
        <w:rPr>
          <w:rFonts w:ascii="仿宋" w:eastAsia="仿宋" w:hAnsi="仿宋" w:cs="宋体" w:hint="eastAsia"/>
          <w:sz w:val="28"/>
          <w:szCs w:val="28"/>
        </w:rPr>
        <w:t>于某某</w:t>
      </w:r>
      <w:r w:rsidRPr="00590230">
        <w:rPr>
          <w:rFonts w:ascii="仿宋" w:eastAsia="仿宋" w:hAnsi="仿宋" w:cs="宋体" w:hint="eastAsia"/>
          <w:sz w:val="28"/>
          <w:szCs w:val="28"/>
        </w:rPr>
        <w:t>曾在权利人公司任职，且所购买的技术资料带有权利人公司标识及项目代号的情况下，仍予以购买并用于产品研发，具有放任犯罪结果发生的间接故意。本案裁判表明，直接故意和间接故意的行为人在侵犯商业秘密罪刑事案件中可以构成共同犯罪，为今后处理同类法律问题提供了现实案例的支撑。</w:t>
      </w:r>
    </w:p>
    <w:p w:rsidR="004F78FA" w:rsidRPr="00590230" w:rsidRDefault="004F78FA" w:rsidP="004F78FA">
      <w:pPr>
        <w:spacing w:line="480" w:lineRule="exact"/>
        <w:ind w:firstLine="560"/>
        <w:rPr>
          <w:rFonts w:ascii="仿宋" w:eastAsia="仿宋" w:hAnsi="仿宋" w:cs="宋体"/>
          <w:sz w:val="28"/>
          <w:szCs w:val="28"/>
        </w:rPr>
      </w:pPr>
      <w:r w:rsidRPr="00590230">
        <w:rPr>
          <w:rFonts w:ascii="仿宋" w:eastAsia="仿宋" w:hAnsi="仿宋" w:cs="宋体" w:hint="eastAsia"/>
          <w:sz w:val="28"/>
          <w:szCs w:val="28"/>
        </w:rPr>
        <w:t>二是侵犯商业秘密罪“重大损失”的认定。侵犯商业秘密罪“重大损失”一般参照商业秘密民事侵权损失计算方法予以认定，遵循权利人损失、侵权人获利以及秘密被公开时研发成本等方法依序适用。本案因权利人产品在市场上具有替代品，侵权人销售一定数量产品未必代表权利人必然销售同等数量产品，且产品的销售并不代表着秘密的公开，故以侵权人获利计算更为妥当。而涉案技术秘点构成了侵权产品利润的主要来源，故以其产品销售净利润作为获利依据并无不当，可以作为同类案件审理时的参考。</w:t>
      </w:r>
    </w:p>
    <w:p w:rsidR="004F78FA" w:rsidRPr="005E2ECF" w:rsidRDefault="004F78FA" w:rsidP="004F78FA">
      <w:pPr>
        <w:spacing w:line="480" w:lineRule="exact"/>
        <w:ind w:firstLine="560"/>
        <w:rPr>
          <w:rFonts w:ascii="仿宋" w:eastAsia="仿宋" w:hAnsi="仿宋" w:cs="宋体"/>
          <w:sz w:val="28"/>
          <w:szCs w:val="28"/>
        </w:rPr>
      </w:pPr>
      <w:r>
        <w:rPr>
          <w:rFonts w:ascii="仿宋" w:eastAsia="仿宋" w:hAnsi="仿宋" w:cs="仿宋" w:hint="eastAsia"/>
          <w:sz w:val="28"/>
          <w:szCs w:val="28"/>
        </w:rPr>
        <w:t>（点评人：唐震，</w:t>
      </w:r>
      <w:r w:rsidR="00B06101">
        <w:rPr>
          <w:rFonts w:ascii="仿宋" w:eastAsia="仿宋" w:hAnsi="仿宋" w:cs="仿宋" w:hint="eastAsia"/>
          <w:sz w:val="28"/>
          <w:szCs w:val="28"/>
        </w:rPr>
        <w:t>三级高级法官，</w:t>
      </w:r>
      <w:r w:rsidRPr="005E2ECF">
        <w:rPr>
          <w:rFonts w:ascii="仿宋" w:eastAsia="仿宋" w:hAnsi="仿宋" w:cs="宋体" w:hint="eastAsia"/>
          <w:sz w:val="28"/>
          <w:szCs w:val="28"/>
        </w:rPr>
        <w:t>上海市高级人民法院知识产权庭副庭长）</w:t>
      </w:r>
    </w:p>
    <w:p w:rsidR="004F78FA" w:rsidRPr="005E2ECF" w:rsidRDefault="004F78FA" w:rsidP="004F78FA">
      <w:pPr>
        <w:spacing w:line="480" w:lineRule="exact"/>
        <w:ind w:firstLine="560"/>
        <w:rPr>
          <w:rFonts w:ascii="仿宋" w:eastAsia="仿宋" w:hAnsi="仿宋" w:cs="宋体"/>
          <w:sz w:val="28"/>
          <w:szCs w:val="28"/>
        </w:rPr>
      </w:pPr>
    </w:p>
    <w:p w:rsidR="004F78FA" w:rsidRPr="00590230" w:rsidRDefault="004F78FA" w:rsidP="004F78FA">
      <w:pPr>
        <w:spacing w:line="480" w:lineRule="exact"/>
        <w:ind w:firstLine="560"/>
        <w:rPr>
          <w:rFonts w:ascii="仿宋" w:eastAsia="仿宋" w:hAnsi="仿宋" w:cs="宋体"/>
          <w:sz w:val="28"/>
          <w:szCs w:val="28"/>
        </w:rPr>
      </w:pPr>
    </w:p>
    <w:p w:rsidR="002A2F12" w:rsidRDefault="002A2F12" w:rsidP="004F78FA">
      <w:pPr>
        <w:ind w:firstLine="420"/>
      </w:pPr>
    </w:p>
    <w:sectPr w:rsidR="002A2F12" w:rsidSect="006D627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E204D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169" w:rsidRDefault="00A93169" w:rsidP="004F78FA">
      <w:pPr>
        <w:spacing w:line="240" w:lineRule="auto"/>
        <w:ind w:firstLine="420"/>
      </w:pPr>
      <w:r>
        <w:separator/>
      </w:r>
    </w:p>
  </w:endnote>
  <w:endnote w:type="continuationSeparator" w:id="1">
    <w:p w:rsidR="00A93169" w:rsidRDefault="00A93169" w:rsidP="004F78FA">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49" w:rsidRDefault="00B41349" w:rsidP="006D6272">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49" w:rsidRDefault="00CE35B1" w:rsidP="006D6272">
    <w:pPr>
      <w:pStyle w:val="a4"/>
      <w:ind w:firstLine="360"/>
      <w:jc w:val="right"/>
    </w:pPr>
    <w:r w:rsidRPr="00CE35B1">
      <w:fldChar w:fldCharType="begin"/>
    </w:r>
    <w:r w:rsidR="00B41349">
      <w:instrText xml:space="preserve"> PAGE   \* MERGEFORMAT </w:instrText>
    </w:r>
    <w:r w:rsidRPr="00CE35B1">
      <w:fldChar w:fldCharType="separate"/>
    </w:r>
    <w:r w:rsidR="007E7372" w:rsidRPr="007E7372">
      <w:rPr>
        <w:noProof/>
        <w:lang w:val="zh-CN"/>
      </w:rPr>
      <w:t>1</w:t>
    </w:r>
    <w:r>
      <w:rPr>
        <w:noProof/>
        <w:lang w:val="zh-CN"/>
      </w:rPr>
      <w:fldChar w:fldCharType="end"/>
    </w:r>
  </w:p>
  <w:p w:rsidR="00B41349" w:rsidRDefault="00B41349" w:rsidP="006D6272">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49" w:rsidRDefault="00B41349" w:rsidP="006D6272">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169" w:rsidRDefault="00A93169" w:rsidP="004F78FA">
      <w:pPr>
        <w:spacing w:line="240" w:lineRule="auto"/>
        <w:ind w:firstLine="420"/>
      </w:pPr>
      <w:r>
        <w:separator/>
      </w:r>
    </w:p>
  </w:footnote>
  <w:footnote w:type="continuationSeparator" w:id="1">
    <w:p w:rsidR="00A93169" w:rsidRDefault="00A93169" w:rsidP="004F78FA">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49" w:rsidRDefault="00B41349" w:rsidP="006D627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49" w:rsidRDefault="00B41349" w:rsidP="006D6272">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49" w:rsidRDefault="00B41349" w:rsidP="006D6272">
    <w:pPr>
      <w:pStyle w:val="a3"/>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8FA"/>
    <w:rsid w:val="000B0402"/>
    <w:rsid w:val="001626BC"/>
    <w:rsid w:val="001A2799"/>
    <w:rsid w:val="00206514"/>
    <w:rsid w:val="00285B49"/>
    <w:rsid w:val="002A2F12"/>
    <w:rsid w:val="00307F81"/>
    <w:rsid w:val="0038609C"/>
    <w:rsid w:val="004372AD"/>
    <w:rsid w:val="004F78FA"/>
    <w:rsid w:val="00503F47"/>
    <w:rsid w:val="00533316"/>
    <w:rsid w:val="006D6272"/>
    <w:rsid w:val="00737F93"/>
    <w:rsid w:val="007507F4"/>
    <w:rsid w:val="00784C1C"/>
    <w:rsid w:val="007B3C10"/>
    <w:rsid w:val="007C0619"/>
    <w:rsid w:val="007E7372"/>
    <w:rsid w:val="007E788D"/>
    <w:rsid w:val="008830BB"/>
    <w:rsid w:val="008853D2"/>
    <w:rsid w:val="008A0EB8"/>
    <w:rsid w:val="00980DC3"/>
    <w:rsid w:val="00A9111F"/>
    <w:rsid w:val="00A93169"/>
    <w:rsid w:val="00AE3B14"/>
    <w:rsid w:val="00B06101"/>
    <w:rsid w:val="00B41349"/>
    <w:rsid w:val="00B95948"/>
    <w:rsid w:val="00CC2551"/>
    <w:rsid w:val="00CE35B1"/>
    <w:rsid w:val="00D501F3"/>
    <w:rsid w:val="00E34F4C"/>
    <w:rsid w:val="00E37691"/>
    <w:rsid w:val="00F71046"/>
    <w:rsid w:val="00FE1B38"/>
    <w:rsid w:val="00FF1F37"/>
    <w:rsid w:val="00FF7D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FA"/>
    <w:pPr>
      <w:widowControl w:val="0"/>
      <w:spacing w:line="300" w:lineRule="auto"/>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8FA"/>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78FA"/>
    <w:rPr>
      <w:sz w:val="18"/>
      <w:szCs w:val="18"/>
    </w:rPr>
  </w:style>
  <w:style w:type="paragraph" w:styleId="a4">
    <w:name w:val="footer"/>
    <w:basedOn w:val="a"/>
    <w:link w:val="Char0"/>
    <w:uiPriority w:val="99"/>
    <w:unhideWhenUsed/>
    <w:rsid w:val="004F78FA"/>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78FA"/>
    <w:rPr>
      <w:sz w:val="18"/>
      <w:szCs w:val="18"/>
    </w:rPr>
  </w:style>
  <w:style w:type="paragraph" w:styleId="a5">
    <w:name w:val="Balloon Text"/>
    <w:basedOn w:val="a"/>
    <w:link w:val="Char1"/>
    <w:uiPriority w:val="99"/>
    <w:semiHidden/>
    <w:unhideWhenUsed/>
    <w:rsid w:val="004F78FA"/>
    <w:pPr>
      <w:spacing w:line="240" w:lineRule="auto"/>
    </w:pPr>
    <w:rPr>
      <w:sz w:val="18"/>
      <w:szCs w:val="18"/>
    </w:rPr>
  </w:style>
  <w:style w:type="character" w:customStyle="1" w:styleId="Char1">
    <w:name w:val="批注框文本 Char"/>
    <w:basedOn w:val="a0"/>
    <w:link w:val="a5"/>
    <w:uiPriority w:val="99"/>
    <w:semiHidden/>
    <w:rsid w:val="004F78FA"/>
    <w:rPr>
      <w:rFonts w:ascii="Calibri" w:eastAsia="宋体" w:hAnsi="Calibri" w:cs="Times New Roman"/>
      <w:sz w:val="18"/>
      <w:szCs w:val="18"/>
    </w:rPr>
  </w:style>
  <w:style w:type="character" w:styleId="a6">
    <w:name w:val="annotation reference"/>
    <w:basedOn w:val="a0"/>
    <w:uiPriority w:val="99"/>
    <w:semiHidden/>
    <w:unhideWhenUsed/>
    <w:rsid w:val="00D501F3"/>
    <w:rPr>
      <w:sz w:val="21"/>
      <w:szCs w:val="21"/>
    </w:rPr>
  </w:style>
  <w:style w:type="paragraph" w:styleId="a7">
    <w:name w:val="annotation text"/>
    <w:basedOn w:val="a"/>
    <w:link w:val="Char2"/>
    <w:uiPriority w:val="99"/>
    <w:semiHidden/>
    <w:unhideWhenUsed/>
    <w:rsid w:val="00D501F3"/>
    <w:pPr>
      <w:jc w:val="left"/>
    </w:pPr>
  </w:style>
  <w:style w:type="character" w:customStyle="1" w:styleId="Char2">
    <w:name w:val="批注文字 Char"/>
    <w:basedOn w:val="a0"/>
    <w:link w:val="a7"/>
    <w:uiPriority w:val="99"/>
    <w:semiHidden/>
    <w:rsid w:val="00D501F3"/>
    <w:rPr>
      <w:rFonts w:ascii="Calibri" w:eastAsia="宋体" w:hAnsi="Calibri" w:cs="Times New Roman"/>
    </w:rPr>
  </w:style>
  <w:style w:type="paragraph" w:styleId="a8">
    <w:name w:val="annotation subject"/>
    <w:basedOn w:val="a7"/>
    <w:next w:val="a7"/>
    <w:link w:val="Char3"/>
    <w:uiPriority w:val="99"/>
    <w:semiHidden/>
    <w:unhideWhenUsed/>
    <w:rsid w:val="00D501F3"/>
    <w:rPr>
      <w:b/>
      <w:bCs/>
    </w:rPr>
  </w:style>
  <w:style w:type="character" w:customStyle="1" w:styleId="Char3">
    <w:name w:val="批注主题 Char"/>
    <w:basedOn w:val="Char2"/>
    <w:link w:val="a8"/>
    <w:uiPriority w:val="99"/>
    <w:semiHidden/>
    <w:rsid w:val="00D501F3"/>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legosh.com/" TargetMode="Externa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8B83-409A-45A5-A3C6-547C6654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29</Pages>
  <Words>2718</Words>
  <Characters>15494</Characters>
  <Application>Microsoft Office Word</Application>
  <DocSecurity>0</DocSecurity>
  <Lines>129</Lines>
  <Paragraphs>36</Paragraphs>
  <ScaleCrop>false</ScaleCrop>
  <Company/>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14</cp:revision>
  <dcterms:created xsi:type="dcterms:W3CDTF">2020-04-12T10:14:00Z</dcterms:created>
  <dcterms:modified xsi:type="dcterms:W3CDTF">2020-04-23T06:44:00Z</dcterms:modified>
</cp:coreProperties>
</file>