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59" w:rsidRDefault="00B77459" w:rsidP="009C3FC0">
      <w:pPr>
        <w:spacing w:line="580" w:lineRule="exact"/>
      </w:pPr>
    </w:p>
    <w:p w:rsidR="00B77459" w:rsidRDefault="00B77459" w:rsidP="009C3FC0">
      <w:pPr>
        <w:spacing w:line="380" w:lineRule="exact"/>
      </w:pPr>
    </w:p>
    <w:p w:rsidR="00B77459" w:rsidRDefault="00B77459" w:rsidP="009C3FC0">
      <w:pPr>
        <w:adjustRightInd w:val="0"/>
        <w:snapToGrid w:val="0"/>
        <w:spacing w:line="360" w:lineRule="auto"/>
        <w:jc w:val="center"/>
        <w:rPr>
          <w:rFonts w:ascii="华文中宋" w:eastAsia="华文中宋" w:hAnsi="华文中宋"/>
          <w:b/>
          <w:bCs/>
          <w:sz w:val="72"/>
          <w:szCs w:val="72"/>
        </w:rPr>
      </w:pPr>
      <w:r w:rsidRPr="007B5D90">
        <w:rPr>
          <w:rFonts w:ascii="华文中宋" w:eastAsia="华文中宋" w:hAnsi="华文中宋"/>
          <w:b/>
          <w:bCs/>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t0141dfd541aac23900" style="width:202.5pt;height:198pt;visibility:visible">
            <v:imagedata r:id="rId6" o:title=""/>
          </v:shape>
        </w:pict>
      </w:r>
    </w:p>
    <w:p w:rsidR="00B77459" w:rsidRDefault="00B77459" w:rsidP="009C3FC0">
      <w:pPr>
        <w:adjustRightInd w:val="0"/>
        <w:snapToGrid w:val="0"/>
        <w:spacing w:line="360" w:lineRule="auto"/>
        <w:jc w:val="center"/>
        <w:rPr>
          <w:rFonts w:ascii="华文中宋" w:eastAsia="华文中宋" w:hAnsi="华文中宋"/>
          <w:b/>
          <w:bCs/>
          <w:sz w:val="72"/>
          <w:szCs w:val="72"/>
        </w:rPr>
      </w:pPr>
    </w:p>
    <w:p w:rsidR="00B77459" w:rsidRDefault="00B77459" w:rsidP="009C3FC0">
      <w:pPr>
        <w:adjustRightInd w:val="0"/>
        <w:snapToGrid w:val="0"/>
        <w:spacing w:line="360" w:lineRule="auto"/>
        <w:jc w:val="center"/>
        <w:rPr>
          <w:rFonts w:ascii="华文中宋" w:eastAsia="华文中宋" w:hAnsi="华文中宋"/>
          <w:b/>
          <w:bCs/>
          <w:sz w:val="52"/>
          <w:szCs w:val="52"/>
        </w:rPr>
      </w:pPr>
      <w:r w:rsidRPr="00D33969">
        <w:rPr>
          <w:rFonts w:ascii="华文中宋" w:eastAsia="华文中宋" w:hAnsi="华文中宋" w:cs="华文中宋"/>
          <w:b/>
          <w:bCs/>
          <w:sz w:val="52"/>
          <w:szCs w:val="52"/>
        </w:rPr>
        <w:t>201</w:t>
      </w:r>
      <w:r>
        <w:rPr>
          <w:rFonts w:ascii="华文中宋" w:eastAsia="华文中宋" w:hAnsi="华文中宋" w:cs="华文中宋"/>
          <w:b/>
          <w:bCs/>
          <w:sz w:val="52"/>
          <w:szCs w:val="52"/>
        </w:rPr>
        <w:t>9</w:t>
      </w:r>
      <w:r w:rsidRPr="00D33969">
        <w:rPr>
          <w:rFonts w:ascii="华文中宋" w:eastAsia="华文中宋" w:hAnsi="华文中宋" w:cs="华文中宋" w:hint="eastAsia"/>
          <w:b/>
          <w:bCs/>
          <w:sz w:val="52"/>
          <w:szCs w:val="52"/>
        </w:rPr>
        <w:t>年度上海行政审判</w:t>
      </w:r>
      <w:r>
        <w:rPr>
          <w:rFonts w:ascii="华文中宋" w:eastAsia="华文中宋" w:hAnsi="华文中宋" w:cs="华文中宋" w:hint="eastAsia"/>
          <w:b/>
          <w:bCs/>
          <w:sz w:val="52"/>
          <w:szCs w:val="52"/>
        </w:rPr>
        <w:t>白皮书</w:t>
      </w:r>
    </w:p>
    <w:p w:rsidR="00B77459" w:rsidRDefault="00B77459" w:rsidP="009C3FC0">
      <w:pPr>
        <w:adjustRightInd w:val="0"/>
        <w:snapToGrid w:val="0"/>
        <w:spacing w:line="360" w:lineRule="auto"/>
        <w:jc w:val="center"/>
        <w:rPr>
          <w:rFonts w:ascii="华文中宋" w:eastAsia="华文中宋" w:hAnsi="华文中宋"/>
          <w:b/>
          <w:bCs/>
          <w:sz w:val="52"/>
          <w:szCs w:val="52"/>
        </w:rPr>
      </w:pPr>
    </w:p>
    <w:p w:rsidR="00B77459" w:rsidRDefault="00B77459" w:rsidP="009C3FC0">
      <w:pPr>
        <w:adjustRightInd w:val="0"/>
        <w:snapToGrid w:val="0"/>
        <w:spacing w:line="360" w:lineRule="auto"/>
        <w:jc w:val="center"/>
        <w:rPr>
          <w:rFonts w:ascii="华文中宋" w:eastAsia="华文中宋" w:hAnsi="华文中宋"/>
          <w:b/>
          <w:bCs/>
          <w:sz w:val="52"/>
          <w:szCs w:val="52"/>
        </w:rPr>
      </w:pPr>
    </w:p>
    <w:p w:rsidR="00B77459" w:rsidRPr="005D676A" w:rsidRDefault="00B77459" w:rsidP="009C3FC0">
      <w:pPr>
        <w:adjustRightInd w:val="0"/>
        <w:snapToGrid w:val="0"/>
        <w:spacing w:line="360" w:lineRule="auto"/>
        <w:jc w:val="center"/>
        <w:rPr>
          <w:rFonts w:ascii="华文中宋" w:eastAsia="华文中宋" w:hAnsi="华文中宋"/>
          <w:b/>
          <w:bCs/>
          <w:sz w:val="52"/>
          <w:szCs w:val="52"/>
        </w:rPr>
      </w:pPr>
    </w:p>
    <w:p w:rsidR="00B77459" w:rsidRPr="00CF48A9" w:rsidRDefault="00B77459" w:rsidP="009C3FC0">
      <w:pPr>
        <w:adjustRightInd w:val="0"/>
        <w:snapToGrid w:val="0"/>
        <w:spacing w:line="360" w:lineRule="auto"/>
        <w:jc w:val="center"/>
        <w:rPr>
          <w:rFonts w:ascii="仿宋_GB2312" w:eastAsia="仿宋_GB2312" w:hAnsi="华文中宋"/>
          <w:b/>
          <w:bCs/>
          <w:sz w:val="36"/>
          <w:szCs w:val="36"/>
        </w:rPr>
      </w:pPr>
      <w:r w:rsidRPr="00CF48A9">
        <w:rPr>
          <w:rFonts w:ascii="仿宋_GB2312" w:eastAsia="仿宋_GB2312" w:hAnsi="华文中宋" w:cs="仿宋_GB2312" w:hint="eastAsia"/>
          <w:b/>
          <w:bCs/>
          <w:sz w:val="36"/>
          <w:szCs w:val="36"/>
        </w:rPr>
        <w:t>上海市高级人民法院</w:t>
      </w:r>
    </w:p>
    <w:p w:rsidR="00B77459" w:rsidRPr="00CF48A9" w:rsidRDefault="00B77459" w:rsidP="009C3FC0">
      <w:pPr>
        <w:adjustRightInd w:val="0"/>
        <w:snapToGrid w:val="0"/>
        <w:spacing w:line="360" w:lineRule="auto"/>
        <w:jc w:val="center"/>
        <w:rPr>
          <w:rFonts w:ascii="仿宋_GB2312" w:eastAsia="仿宋_GB2312" w:hAnsi="华文中宋"/>
          <w:b/>
          <w:bCs/>
          <w:sz w:val="36"/>
          <w:szCs w:val="36"/>
        </w:rPr>
      </w:pPr>
    </w:p>
    <w:p w:rsidR="00B77459" w:rsidRDefault="00B77459" w:rsidP="009C3FC0">
      <w:pPr>
        <w:spacing w:line="580" w:lineRule="exact"/>
        <w:jc w:val="center"/>
        <w:rPr>
          <w:rFonts w:ascii="华文中宋" w:eastAsia="华文中宋" w:hAnsi="华文中宋"/>
          <w:b/>
          <w:bCs/>
          <w:noProof/>
          <w:sz w:val="44"/>
          <w:szCs w:val="44"/>
        </w:rPr>
      </w:pPr>
      <w:r>
        <w:rPr>
          <w:rFonts w:ascii="华文中宋" w:eastAsia="华文中宋" w:hAnsi="华文中宋"/>
          <w:b/>
          <w:bCs/>
          <w:sz w:val="44"/>
          <w:szCs w:val="44"/>
        </w:rPr>
        <w:br w:type="page"/>
      </w:r>
      <w:bookmarkStart w:id="0" w:name="zwnr"/>
      <w:bookmarkEnd w:id="0"/>
      <w:r>
        <w:rPr>
          <w:rFonts w:ascii="华文中宋" w:eastAsia="华文中宋" w:hAnsi="华文中宋"/>
          <w:b/>
          <w:bCs/>
          <w:sz w:val="44"/>
          <w:szCs w:val="44"/>
        </w:rPr>
        <w:br w:type="page"/>
      </w:r>
      <w:r>
        <w:rPr>
          <w:rFonts w:ascii="华文中宋" w:eastAsia="华文中宋" w:hAnsi="华文中宋" w:cs="华文中宋"/>
          <w:b/>
          <w:bCs/>
          <w:noProof/>
          <w:sz w:val="44"/>
          <w:szCs w:val="44"/>
        </w:rPr>
        <w:t>2019</w:t>
      </w:r>
      <w:r>
        <w:rPr>
          <w:rFonts w:ascii="华文中宋" w:eastAsia="华文中宋" w:hAnsi="华文中宋" w:cs="华文中宋" w:hint="eastAsia"/>
          <w:b/>
          <w:bCs/>
          <w:noProof/>
          <w:sz w:val="44"/>
          <w:szCs w:val="44"/>
        </w:rPr>
        <w:t>年度上海行政审判白皮书</w:t>
      </w:r>
    </w:p>
    <w:p w:rsidR="00B77459" w:rsidRPr="009C3FC0" w:rsidRDefault="00B77459" w:rsidP="009C3FC0">
      <w:pPr>
        <w:spacing w:line="580" w:lineRule="exact"/>
        <w:jc w:val="center"/>
        <w:rPr>
          <w:rFonts w:ascii="仿宋_GB2312" w:eastAsia="仿宋_GB2312" w:hAnsi="仿宋_GB2312"/>
          <w:sz w:val="32"/>
          <w:szCs w:val="32"/>
        </w:rPr>
      </w:pPr>
    </w:p>
    <w:p w:rsidR="00B77459" w:rsidRDefault="00B77459" w:rsidP="00F250E6">
      <w:pPr>
        <w:spacing w:line="68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年，全市法院在市委的领导下，在市人大及其常委会的监督下，在最高法院的指导下，坚持以习近平新时代中国特色社会主义思想为指导，</w:t>
      </w:r>
      <w:r>
        <w:rPr>
          <w:rFonts w:ascii="仿宋_GB2312" w:eastAsia="仿宋_GB2312" w:hAnsi="仿宋_GB2312" w:cs="仿宋_GB2312" w:hint="eastAsia"/>
          <w:sz w:val="32"/>
          <w:szCs w:val="32"/>
          <w:lang w:val="zh-TW"/>
        </w:rPr>
        <w:t>围绕“</w:t>
      </w:r>
      <w:r>
        <w:rPr>
          <w:rFonts w:ascii="仿宋_GB2312" w:eastAsia="仿宋_GB2312" w:hAnsi="仿宋_GB2312" w:cs="仿宋_GB2312" w:hint="eastAsia"/>
          <w:sz w:val="32"/>
          <w:szCs w:val="32"/>
          <w:lang w:val="zh-TW" w:eastAsia="zh-TW"/>
        </w:rPr>
        <w:t>努力让人民群众在每一个司法案件中感受到公平正义</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的目标，</w:t>
      </w:r>
      <w:r>
        <w:rPr>
          <w:rFonts w:ascii="仿宋_GB2312" w:eastAsia="仿宋_GB2312" w:hAnsi="仿宋_GB2312" w:cs="仿宋_GB2312" w:hint="eastAsia"/>
          <w:kern w:val="0"/>
          <w:sz w:val="32"/>
          <w:szCs w:val="32"/>
          <w:lang w:val="zh-TW" w:eastAsia="zh-TW"/>
        </w:rPr>
        <w:t>充分发挥行政审判职能，有效增进良性互动，为推进本市法治政府建设、维护人民群众合法权益提供了良好司法服务和有力司法保障。</w:t>
      </w:r>
    </w:p>
    <w:p w:rsidR="00B77459" w:rsidRDefault="00B77459" w:rsidP="00F250E6">
      <w:pPr>
        <w:spacing w:line="680" w:lineRule="exact"/>
        <w:ind w:firstLineChars="200" w:firstLine="31680"/>
        <w:rPr>
          <w:rFonts w:ascii="仿宋_GB2312" w:eastAsia="仿宋_GB2312" w:hAnsi="仿宋_GB2312"/>
          <w:sz w:val="32"/>
          <w:szCs w:val="32"/>
        </w:rPr>
      </w:pPr>
      <w:r>
        <w:rPr>
          <w:rFonts w:ascii="黑体" w:eastAsia="黑体" w:hAnsi="黑体" w:cs="黑体" w:hint="eastAsia"/>
          <w:sz w:val="32"/>
          <w:szCs w:val="32"/>
          <w:lang w:val="zh-TW" w:eastAsia="zh-TW"/>
        </w:rPr>
        <w:t>一、</w:t>
      </w:r>
      <w:r>
        <w:rPr>
          <w:rFonts w:ascii="黑体" w:eastAsia="黑体" w:hAnsi="黑体" w:cs="黑体"/>
          <w:sz w:val="32"/>
          <w:szCs w:val="32"/>
        </w:rPr>
        <w:t>2019</w:t>
      </w:r>
      <w:r>
        <w:rPr>
          <w:rFonts w:ascii="黑体" w:eastAsia="黑体" w:hAnsi="黑体" w:cs="黑体" w:hint="eastAsia"/>
          <w:sz w:val="32"/>
          <w:szCs w:val="32"/>
          <w:lang w:val="zh-TW" w:eastAsia="zh-TW"/>
        </w:rPr>
        <w:t>年上海行政诉讼总体情况和特点</w:t>
      </w:r>
    </w:p>
    <w:p w:rsidR="00B77459" w:rsidRDefault="00B77459" w:rsidP="00F250E6">
      <w:pPr>
        <w:spacing w:line="68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年，全市法院共受理一审、二审行政案件</w:t>
      </w:r>
      <w:r>
        <w:rPr>
          <w:rFonts w:ascii="仿宋_GB2312" w:eastAsia="仿宋_GB2312" w:hAnsi="仿宋_GB2312" w:cs="仿宋_GB2312"/>
          <w:kern w:val="0"/>
          <w:sz w:val="32"/>
          <w:szCs w:val="32"/>
        </w:rPr>
        <w:t>8015</w:t>
      </w:r>
      <w:r>
        <w:rPr>
          <w:rFonts w:ascii="仿宋_GB2312" w:eastAsia="仿宋_GB2312" w:hAnsi="仿宋_GB2312" w:cs="仿宋_GB2312" w:hint="eastAsia"/>
          <w:sz w:val="32"/>
          <w:szCs w:val="32"/>
          <w:lang w:val="zh-TW" w:eastAsia="zh-TW"/>
        </w:rPr>
        <w:t>件，审结一审、二审行政案件</w:t>
      </w:r>
      <w:r>
        <w:rPr>
          <w:rFonts w:ascii="仿宋_GB2312" w:eastAsia="仿宋_GB2312" w:hAnsi="仿宋_GB2312" w:cs="仿宋_GB2312"/>
          <w:sz w:val="32"/>
          <w:szCs w:val="32"/>
        </w:rPr>
        <w:t>8113</w:t>
      </w:r>
      <w:r>
        <w:rPr>
          <w:rFonts w:ascii="仿宋_GB2312" w:eastAsia="仿宋_GB2312" w:hAnsi="仿宋_GB2312" w:cs="仿宋_GB2312" w:hint="eastAsia"/>
          <w:sz w:val="32"/>
          <w:szCs w:val="32"/>
          <w:lang w:val="zh-TW" w:eastAsia="zh-TW"/>
        </w:rPr>
        <w:t>件。其中，通过一、二审协调和解解决行政争议</w:t>
      </w:r>
      <w:r>
        <w:rPr>
          <w:rFonts w:ascii="仿宋_GB2312" w:eastAsia="仿宋_GB2312" w:hAnsi="仿宋_GB2312" w:cs="仿宋_GB2312"/>
          <w:sz w:val="32"/>
          <w:szCs w:val="32"/>
        </w:rPr>
        <w:t>1541</w:t>
      </w:r>
      <w:r>
        <w:rPr>
          <w:rFonts w:ascii="仿宋_GB2312" w:eastAsia="仿宋_GB2312" w:hAnsi="仿宋_GB2312" w:cs="仿宋_GB2312" w:hint="eastAsia"/>
          <w:sz w:val="32"/>
          <w:szCs w:val="32"/>
          <w:lang w:val="zh-TW" w:eastAsia="zh-TW"/>
        </w:rPr>
        <w:t>件，占一审结案总数的</w:t>
      </w:r>
      <w:r>
        <w:rPr>
          <w:rFonts w:ascii="仿宋_GB2312" w:eastAsia="仿宋_GB2312" w:hAnsi="仿宋_GB2312" w:cs="仿宋_GB2312"/>
          <w:sz w:val="32"/>
          <w:szCs w:val="32"/>
        </w:rPr>
        <w:t>29.2%</w:t>
      </w:r>
      <w:r>
        <w:rPr>
          <w:rFonts w:ascii="仿宋_GB2312" w:eastAsia="仿宋_GB2312" w:hAnsi="仿宋_GB2312" w:cs="仿宋_GB2312" w:hint="eastAsia"/>
          <w:sz w:val="32"/>
          <w:szCs w:val="32"/>
          <w:lang w:val="zh-TW" w:eastAsia="zh-TW"/>
        </w:rPr>
        <w:t>，同比上升</w:t>
      </w:r>
      <w:r>
        <w:rPr>
          <w:rFonts w:ascii="仿宋_GB2312" w:eastAsia="仿宋_GB2312" w:hAnsi="仿宋_GB2312" w:cs="仿宋_GB2312"/>
          <w:sz w:val="32"/>
          <w:szCs w:val="32"/>
        </w:rPr>
        <w:t>6.4</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lang w:val="zh-TW" w:eastAsia="zh-TW"/>
        </w:rPr>
        <w:t>百分点，将近三成的行政争议通过诉讼得以实质解决。</w:t>
      </w:r>
    </w:p>
    <w:p w:rsidR="00B77459" w:rsidRDefault="00B77459" w:rsidP="00F250E6">
      <w:pPr>
        <w:spacing w:line="68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lang w:val="zh-TW" w:eastAsia="zh-TW"/>
        </w:rPr>
        <w:t>（一）涉诉行政争议</w:t>
      </w:r>
      <w:r>
        <w:rPr>
          <w:rFonts w:ascii="楷体_GB2312" w:eastAsia="楷体_GB2312" w:hAnsi="楷体_GB2312" w:cs="楷体_GB2312" w:hint="eastAsia"/>
          <w:b/>
          <w:bCs/>
          <w:sz w:val="32"/>
          <w:szCs w:val="32"/>
          <w:lang w:val="zh-CN"/>
        </w:rPr>
        <w:t>连续两年下降</w:t>
      </w:r>
    </w:p>
    <w:p w:rsidR="00B77459" w:rsidRDefault="00B77459" w:rsidP="00F250E6">
      <w:pPr>
        <w:spacing w:line="6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lang w:val="zh-TW" w:eastAsia="zh-TW"/>
        </w:rPr>
        <w:t>随着本市依法治市战略的有力实施以及行政争议实质性解决工作的推进，一些行政争议在诉讼之前得到解决，行政争议发生率有所下降。</w:t>
      </w: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年，全市法院受理一审行政案件</w:t>
      </w:r>
      <w:r>
        <w:rPr>
          <w:rFonts w:ascii="仿宋_GB2312" w:eastAsia="仿宋_GB2312" w:hAnsi="仿宋_GB2312" w:cs="仿宋_GB2312"/>
          <w:kern w:val="0"/>
          <w:sz w:val="32"/>
          <w:szCs w:val="32"/>
        </w:rPr>
        <w:t>5183</w:t>
      </w:r>
      <w:r>
        <w:rPr>
          <w:rFonts w:ascii="仿宋_GB2312" w:eastAsia="仿宋_GB2312" w:hAnsi="仿宋_GB2312" w:cs="仿宋_GB2312" w:hint="eastAsia"/>
          <w:kern w:val="0"/>
          <w:sz w:val="32"/>
          <w:szCs w:val="32"/>
          <w:lang w:val="zh-TW" w:eastAsia="zh-TW"/>
        </w:rPr>
        <w:t>件，同比下降</w:t>
      </w:r>
      <w:r>
        <w:rPr>
          <w:rFonts w:ascii="仿宋_GB2312" w:eastAsia="仿宋_GB2312" w:hAnsi="仿宋_GB2312" w:cs="仿宋_GB2312"/>
          <w:kern w:val="0"/>
          <w:sz w:val="32"/>
          <w:szCs w:val="32"/>
        </w:rPr>
        <w:t>5.2%</w:t>
      </w:r>
      <w:r>
        <w:rPr>
          <w:rFonts w:ascii="仿宋_GB2312" w:eastAsia="仿宋_GB2312" w:hAnsi="仿宋_GB2312" w:cs="仿宋_GB2312" w:hint="eastAsia"/>
          <w:sz w:val="32"/>
          <w:szCs w:val="32"/>
          <w:lang w:val="zh-TW" w:eastAsia="zh-TW"/>
        </w:rPr>
        <w:t>，受案数自</w:t>
      </w:r>
      <w:r>
        <w:rPr>
          <w:rFonts w:ascii="仿宋_GB2312" w:eastAsia="仿宋_GB2312" w:hAnsi="仿宋_GB2312" w:cs="仿宋_GB2312"/>
          <w:sz w:val="32"/>
          <w:szCs w:val="32"/>
        </w:rPr>
        <w:t>2017</w:t>
      </w:r>
      <w:r>
        <w:rPr>
          <w:rFonts w:ascii="仿宋_GB2312" w:eastAsia="仿宋_GB2312" w:hAnsi="仿宋_GB2312" w:cs="仿宋_GB2312" w:hint="eastAsia"/>
          <w:sz w:val="32"/>
          <w:szCs w:val="32"/>
          <w:lang w:val="zh-TW" w:eastAsia="zh-TW"/>
        </w:rPr>
        <w:t>年达到峰值之后连续两年下降。</w:t>
      </w:r>
    </w:p>
    <w:p w:rsidR="00B77459" w:rsidRDefault="00B77459">
      <w:pPr>
        <w:spacing w:line="540" w:lineRule="exact"/>
        <w:jc w:val="center"/>
        <w:rPr>
          <w:rFonts w:ascii="黑体" w:eastAsia="黑体" w:hAnsi="黑体"/>
          <w:sz w:val="28"/>
          <w:szCs w:val="28"/>
        </w:rPr>
      </w:pPr>
    </w:p>
    <w:p w:rsidR="00B77459" w:rsidRDefault="00B77459">
      <w:pPr>
        <w:spacing w:line="540" w:lineRule="exact"/>
        <w:jc w:val="center"/>
        <w:rPr>
          <w:rFonts w:ascii="黑体" w:eastAsia="黑体" w:hAnsi="黑体"/>
          <w:sz w:val="28"/>
          <w:szCs w:val="28"/>
        </w:rPr>
      </w:pPr>
      <w:r>
        <w:rPr>
          <w:rFonts w:ascii="黑体" w:eastAsia="黑体" w:hAnsi="黑体" w:cs="黑体"/>
          <w:sz w:val="28"/>
          <w:szCs w:val="28"/>
        </w:rPr>
        <w:t>2015</w:t>
      </w:r>
      <w:r>
        <w:rPr>
          <w:rFonts w:ascii="黑体" w:eastAsia="黑体" w:hAnsi="黑体" w:cs="黑体" w:hint="eastAsia"/>
          <w:sz w:val="28"/>
          <w:szCs w:val="28"/>
          <w:lang w:val="zh-TW" w:eastAsia="zh-TW"/>
        </w:rPr>
        <w:t>年</w:t>
      </w:r>
      <w:r>
        <w:rPr>
          <w:rFonts w:ascii="黑体" w:eastAsia="黑体" w:hAnsi="黑体" w:cs="黑体"/>
          <w:sz w:val="28"/>
          <w:szCs w:val="28"/>
        </w:rPr>
        <w:t>—2019</w:t>
      </w:r>
      <w:r>
        <w:rPr>
          <w:rFonts w:ascii="黑体" w:eastAsia="黑体" w:hAnsi="黑体" w:cs="黑体" w:hint="eastAsia"/>
          <w:sz w:val="28"/>
          <w:szCs w:val="28"/>
          <w:lang w:val="zh-TW" w:eastAsia="zh-TW"/>
        </w:rPr>
        <w:t>年全市法院一审行政案件走势</w:t>
      </w:r>
    </w:p>
    <w:p w:rsidR="00B77459" w:rsidRDefault="00B77459">
      <w:pPr>
        <w:spacing w:line="360" w:lineRule="auto"/>
        <w:jc w:val="center"/>
        <w:rPr>
          <w:rFonts w:ascii="仿宋_GB2312" w:eastAsia="仿宋_GB2312" w:hAnsi="仿宋_GB2312"/>
          <w:sz w:val="32"/>
          <w:szCs w:val="32"/>
        </w:rPr>
      </w:pPr>
      <w:r w:rsidRPr="007B5D90">
        <w:rPr>
          <w:rFonts w:ascii="仿宋_GB2312" w:eastAsia="仿宋_GB2312" w:hAnsi="仿宋_GB2312"/>
          <w:noProof/>
          <w:sz w:val="32"/>
          <w:szCs w:val="32"/>
        </w:rPr>
        <w:pict>
          <v:shape id="officeArt object" o:spid="_x0000_i1026" type="#_x0000_t75" style="width:412.5pt;height:202.5pt;visibility:visible">
            <v:imagedata r:id="rId7" o:title=""/>
          </v:shape>
        </w:pict>
      </w:r>
    </w:p>
    <w:p w:rsidR="00B77459" w:rsidRDefault="00B77459" w:rsidP="00F250E6">
      <w:pPr>
        <w:spacing w:line="680" w:lineRule="exact"/>
        <w:ind w:firstLineChars="200" w:firstLine="31680"/>
        <w:rPr>
          <w:rFonts w:ascii="仿宋_GB2312" w:eastAsia="仿宋_GB2312" w:hAnsi="仿宋_GB2312"/>
          <w:sz w:val="32"/>
          <w:szCs w:val="32"/>
        </w:rPr>
      </w:pPr>
    </w:p>
    <w:p w:rsidR="00B77459" w:rsidRPr="00013538" w:rsidRDefault="00B77459" w:rsidP="00F250E6">
      <w:pPr>
        <w:spacing w:line="68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lang w:val="zh-TW" w:eastAsia="zh-TW"/>
        </w:rPr>
        <w:t>（二）</w:t>
      </w:r>
      <w:r>
        <w:rPr>
          <w:rFonts w:ascii="楷体_GB2312" w:eastAsia="楷体_GB2312" w:hAnsi="楷体_GB2312" w:cs="楷体_GB2312" w:hint="eastAsia"/>
          <w:b/>
          <w:bCs/>
          <w:sz w:val="32"/>
          <w:szCs w:val="32"/>
          <w:lang w:val="zh-CN"/>
        </w:rPr>
        <w:t>行政</w:t>
      </w:r>
      <w:r>
        <w:rPr>
          <w:rFonts w:ascii="楷体_GB2312" w:eastAsia="楷体_GB2312" w:hAnsi="楷体_GB2312" w:cs="楷体_GB2312" w:hint="eastAsia"/>
          <w:b/>
          <w:bCs/>
          <w:sz w:val="32"/>
          <w:szCs w:val="32"/>
          <w:lang w:val="zh-TW" w:eastAsia="zh-TW"/>
        </w:rPr>
        <w:t>机关负责人出庭</w:t>
      </w:r>
      <w:r>
        <w:rPr>
          <w:rFonts w:ascii="楷体_GB2312" w:eastAsia="楷体_GB2312" w:hAnsi="楷体_GB2312" w:cs="楷体_GB2312" w:hint="eastAsia"/>
          <w:b/>
          <w:bCs/>
          <w:sz w:val="32"/>
          <w:szCs w:val="32"/>
          <w:lang w:val="zh-CN"/>
        </w:rPr>
        <w:t>率</w:t>
      </w:r>
      <w:r>
        <w:rPr>
          <w:rFonts w:ascii="楷体_GB2312" w:eastAsia="楷体_GB2312" w:hAnsi="楷体_GB2312" w:cs="楷体_GB2312" w:hint="eastAsia"/>
          <w:b/>
          <w:bCs/>
          <w:sz w:val="32"/>
          <w:szCs w:val="32"/>
          <w:lang w:val="zh-TW" w:eastAsia="zh-TW"/>
        </w:rPr>
        <w:t>继续提升</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lang w:val="zh-TW" w:eastAsia="zh-TW"/>
        </w:rPr>
        <w:t>年在行政机构改革、行政</w:t>
      </w:r>
      <w:r>
        <w:rPr>
          <w:rFonts w:ascii="仿宋_GB2312" w:eastAsia="仿宋_GB2312" w:hAnsi="仿宋_GB2312" w:cs="仿宋_GB2312" w:hint="eastAsia"/>
          <w:kern w:val="0"/>
          <w:sz w:val="32"/>
          <w:szCs w:val="32"/>
          <w:lang w:val="zh-TW"/>
        </w:rPr>
        <w:t>案件</w:t>
      </w:r>
      <w:r>
        <w:rPr>
          <w:rFonts w:ascii="仿宋_GB2312" w:eastAsia="仿宋_GB2312" w:hAnsi="仿宋_GB2312" w:cs="仿宋_GB2312" w:hint="eastAsia"/>
          <w:kern w:val="0"/>
          <w:sz w:val="32"/>
          <w:szCs w:val="32"/>
          <w:lang w:val="zh-TW" w:eastAsia="zh-TW"/>
        </w:rPr>
        <w:t>集中管辖改革的背景下，上海法院推动行政机关负责人出庭应诉工作机制，开展行政案件庭审、旁听、讲评</w:t>
      </w:r>
      <w:r>
        <w:rPr>
          <w:rFonts w:ascii="仿宋_GB2312" w:eastAsia="仿宋_GB2312" w:hAnsi="仿宋_GB2312" w:cs="仿宋_GB2312" w:hint="eastAsia"/>
          <w:sz w:val="32"/>
          <w:szCs w:val="32"/>
          <w:lang w:val="zh-TW"/>
        </w:rPr>
        <w:t>“</w:t>
      </w:r>
      <w:r>
        <w:rPr>
          <w:rFonts w:ascii="仿宋_GB2312" w:eastAsia="仿宋_GB2312" w:hAnsi="仿宋_GB2312" w:cs="仿宋_GB2312" w:hint="eastAsia"/>
          <w:kern w:val="0"/>
          <w:sz w:val="32"/>
          <w:szCs w:val="32"/>
          <w:lang w:val="zh-TW" w:eastAsia="zh-TW"/>
        </w:rPr>
        <w:t>三合一</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val="zh-TW" w:eastAsia="zh-TW"/>
        </w:rPr>
        <w:t>工作，有效发挥负责人出庭应诉对促进依法行政、缓解官民矛盾、推进争议实质解决的积极作用。</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lang w:val="zh-TW" w:eastAsia="zh-TW"/>
        </w:rPr>
        <w:t>年全年行政机关负责人出庭应诉</w:t>
      </w:r>
      <w:r>
        <w:rPr>
          <w:rFonts w:ascii="仿宋_GB2312" w:eastAsia="仿宋_GB2312" w:hAnsi="仿宋_GB2312" w:cs="仿宋_GB2312"/>
          <w:kern w:val="0"/>
          <w:sz w:val="32"/>
          <w:szCs w:val="32"/>
        </w:rPr>
        <w:t>1251</w:t>
      </w:r>
      <w:r>
        <w:rPr>
          <w:rFonts w:ascii="仿宋_GB2312" w:eastAsia="仿宋_GB2312" w:hAnsi="仿宋_GB2312" w:cs="仿宋_GB2312" w:hint="eastAsia"/>
          <w:kern w:val="0"/>
          <w:sz w:val="32"/>
          <w:szCs w:val="32"/>
          <w:lang w:val="zh-TW" w:eastAsia="zh-TW"/>
        </w:rPr>
        <w:t>人次，同比上升</w:t>
      </w:r>
      <w:r>
        <w:rPr>
          <w:rFonts w:ascii="仿宋_GB2312" w:eastAsia="仿宋_GB2312" w:hAnsi="仿宋_GB2312" w:cs="仿宋_GB2312"/>
          <w:kern w:val="0"/>
          <w:sz w:val="32"/>
          <w:szCs w:val="32"/>
        </w:rPr>
        <w:t>15.3%</w:t>
      </w:r>
      <w:r>
        <w:rPr>
          <w:rFonts w:ascii="仿宋_GB2312" w:eastAsia="仿宋_GB2312" w:hAnsi="仿宋_GB2312" w:cs="仿宋_GB2312" w:hint="eastAsia"/>
          <w:kern w:val="0"/>
          <w:sz w:val="32"/>
          <w:szCs w:val="32"/>
          <w:lang w:val="zh-TW" w:eastAsia="zh-TW"/>
        </w:rPr>
        <w:t>；行政机关负责人出庭率</w:t>
      </w:r>
      <w:r>
        <w:rPr>
          <w:rFonts w:ascii="仿宋_GB2312" w:eastAsia="仿宋_GB2312" w:hAnsi="仿宋_GB2312" w:cs="仿宋_GB2312"/>
          <w:kern w:val="0"/>
          <w:sz w:val="32"/>
          <w:szCs w:val="32"/>
        </w:rPr>
        <w:t>39.9%</w:t>
      </w:r>
      <w:r>
        <w:rPr>
          <w:rFonts w:ascii="仿宋_GB2312" w:eastAsia="仿宋_GB2312" w:hAnsi="仿宋_GB2312" w:cs="仿宋_GB2312" w:hint="eastAsia"/>
          <w:kern w:val="0"/>
          <w:sz w:val="32"/>
          <w:szCs w:val="32"/>
          <w:lang w:val="zh-TW" w:eastAsia="zh-TW"/>
        </w:rPr>
        <w:t>，同比提高</w:t>
      </w:r>
      <w:r>
        <w:rPr>
          <w:rFonts w:ascii="仿宋_GB2312" w:eastAsia="仿宋_GB2312" w:hAnsi="仿宋_GB2312" w:cs="仿宋_GB2312"/>
          <w:kern w:val="0"/>
          <w:sz w:val="32"/>
          <w:szCs w:val="32"/>
        </w:rPr>
        <w:t>7.7</w:t>
      </w:r>
      <w:r>
        <w:rPr>
          <w:rFonts w:ascii="仿宋_GB2312" w:eastAsia="仿宋_GB2312" w:hAnsi="仿宋_GB2312" w:cs="仿宋_GB2312" w:hint="eastAsia"/>
          <w:kern w:val="0"/>
          <w:sz w:val="32"/>
          <w:szCs w:val="32"/>
          <w:lang w:val="zh-TW" w:eastAsia="zh-TW"/>
        </w:rPr>
        <w:t>个百分点。</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楷体_GB2312" w:eastAsia="楷体_GB2312" w:hAnsi="楷体_GB2312" w:cs="楷体_GB2312" w:hint="eastAsia"/>
          <w:b/>
          <w:bCs/>
          <w:sz w:val="32"/>
          <w:szCs w:val="32"/>
          <w:lang w:val="zh-TW" w:eastAsia="zh-TW"/>
        </w:rPr>
        <w:t>（三）律师参与行政争议解决的积极性增强</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仿宋_GB2312" w:eastAsia="仿宋_GB2312" w:hAnsi="仿宋_GB2312" w:cs="仿宋_GB2312" w:hint="eastAsia"/>
          <w:kern w:val="0"/>
          <w:sz w:val="32"/>
          <w:szCs w:val="32"/>
          <w:lang w:val="zh-TW" w:eastAsia="zh-TW"/>
        </w:rPr>
        <w:t>近年来，律师群体对于本市行政诉讼的参与度有所提高，律师参与行政诉讼不仅表现在代理行政案件上，更体现在对行政争议解决的全方位参与上。</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lang w:val="zh-TW" w:eastAsia="zh-TW"/>
        </w:rPr>
        <w:t>年，原告当事人聘请律师代理的一审行政案件有</w:t>
      </w:r>
      <w:r>
        <w:rPr>
          <w:rFonts w:ascii="仿宋_GB2312" w:eastAsia="仿宋_GB2312" w:hAnsi="仿宋_GB2312" w:cs="仿宋_GB2312"/>
          <w:kern w:val="0"/>
          <w:sz w:val="32"/>
          <w:szCs w:val="32"/>
        </w:rPr>
        <w:t>1396</w:t>
      </w:r>
      <w:r>
        <w:rPr>
          <w:rFonts w:ascii="仿宋_GB2312" w:eastAsia="仿宋_GB2312" w:hAnsi="仿宋_GB2312" w:cs="仿宋_GB2312" w:hint="eastAsia"/>
          <w:kern w:val="0"/>
          <w:sz w:val="32"/>
          <w:szCs w:val="32"/>
          <w:lang w:val="zh-TW" w:eastAsia="zh-TW"/>
        </w:rPr>
        <w:t>件，占案件总数的</w:t>
      </w:r>
      <w:r>
        <w:rPr>
          <w:rFonts w:ascii="仿宋_GB2312" w:eastAsia="仿宋_GB2312" w:hAnsi="仿宋_GB2312" w:cs="仿宋_GB2312"/>
          <w:kern w:val="0"/>
          <w:sz w:val="32"/>
          <w:szCs w:val="32"/>
        </w:rPr>
        <w:t>26.9%</w:t>
      </w:r>
      <w:r>
        <w:rPr>
          <w:rFonts w:ascii="仿宋_GB2312" w:eastAsia="仿宋_GB2312" w:hAnsi="仿宋_GB2312" w:cs="仿宋_GB2312" w:hint="eastAsia"/>
          <w:kern w:val="0"/>
          <w:sz w:val="32"/>
          <w:szCs w:val="32"/>
          <w:lang w:val="zh-TW" w:eastAsia="zh-TW"/>
        </w:rPr>
        <w:t>；本市行政机关充分发挥政府法律顾问和公职律师在专业领域的作用，一些案件委托律师出庭应诉，提升了应诉工作的规范化和专业化。本市各级法院的行政争议多元调处中心所聘请的调处委员均有律师代表参与其中，协助法院开展行政争议实质解决工作。</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楷体_GB2312" w:eastAsia="楷体_GB2312" w:hAnsi="楷体_GB2312" w:cs="楷体_GB2312" w:hint="eastAsia"/>
          <w:b/>
          <w:bCs/>
          <w:sz w:val="32"/>
          <w:szCs w:val="32"/>
          <w:lang w:val="zh-TW" w:eastAsia="zh-TW"/>
        </w:rPr>
        <w:t>（四）争议解决机制建设继续推进</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年，市高院制定了实质解决行政争议</w:t>
      </w:r>
      <w:r>
        <w:rPr>
          <w:rFonts w:ascii="仿宋_GB2312" w:eastAsia="仿宋_GB2312" w:hAnsi="仿宋_GB2312" w:cs="仿宋_GB2312" w:hint="eastAsia"/>
          <w:sz w:val="32"/>
          <w:szCs w:val="32"/>
          <w:lang w:val="zh-TW"/>
        </w:rPr>
        <w:t>的</w:t>
      </w:r>
      <w:r>
        <w:rPr>
          <w:rFonts w:ascii="仿宋_GB2312" w:eastAsia="仿宋_GB2312" w:hAnsi="仿宋_GB2312" w:cs="仿宋_GB2312" w:hint="eastAsia"/>
          <w:sz w:val="32"/>
          <w:szCs w:val="32"/>
          <w:lang w:val="zh-TW" w:eastAsia="zh-TW"/>
        </w:rPr>
        <w:t>工作指引，引导办案法官在办案过程中树立实质解决行政争议的理念，增强实质解决行政争议的技能，全流程推进实质解决行政争议。开发完成行政争议实质解决可视化模块，</w:t>
      </w:r>
      <w:r>
        <w:rPr>
          <w:rFonts w:ascii="仿宋_GB2312" w:eastAsia="仿宋_GB2312" w:hAnsi="仿宋_GB2312" w:cs="仿宋_GB2312" w:hint="eastAsia"/>
          <w:kern w:val="0"/>
          <w:sz w:val="32"/>
          <w:szCs w:val="32"/>
          <w:lang w:val="zh-TW" w:eastAsia="zh-TW"/>
        </w:rPr>
        <w:t>对全市各相关法院开展行政争议实质解决的情况进行全面、动态评估。继续加强多元调处平台建设，初步形成覆盖全市三级法院、以行政案件集中管辖法院为主的多元调处平台网络。</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楷体_GB2312" w:eastAsia="楷体_GB2312" w:hAnsi="楷体_GB2312" w:cs="楷体_GB2312" w:hint="eastAsia"/>
          <w:b/>
          <w:bCs/>
          <w:sz w:val="32"/>
          <w:szCs w:val="32"/>
          <w:lang w:val="zh-TW" w:eastAsia="zh-TW"/>
        </w:rPr>
        <w:t>（五）行政案件办案效率有所提高</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年，全市法院依法审理各类行政案件工作效率进一步提高。</w:t>
      </w: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年，全市法院</w:t>
      </w:r>
      <w:r>
        <w:rPr>
          <w:rFonts w:ascii="仿宋_GB2312" w:eastAsia="仿宋_GB2312" w:hAnsi="仿宋_GB2312" w:cs="仿宋_GB2312" w:hint="eastAsia"/>
          <w:kern w:val="0"/>
          <w:sz w:val="32"/>
          <w:szCs w:val="32"/>
          <w:lang w:val="zh-TW" w:eastAsia="zh-TW"/>
        </w:rPr>
        <w:t>审结一审行政案件</w:t>
      </w:r>
      <w:r>
        <w:rPr>
          <w:rFonts w:ascii="仿宋_GB2312" w:eastAsia="仿宋_GB2312" w:hAnsi="仿宋_GB2312" w:cs="仿宋_GB2312"/>
          <w:kern w:val="0"/>
          <w:sz w:val="32"/>
          <w:szCs w:val="32"/>
        </w:rPr>
        <w:t>5273</w:t>
      </w:r>
      <w:r>
        <w:rPr>
          <w:rFonts w:ascii="仿宋_GB2312" w:eastAsia="仿宋_GB2312" w:hAnsi="仿宋_GB2312" w:cs="仿宋_GB2312" w:hint="eastAsia"/>
          <w:kern w:val="0"/>
          <w:sz w:val="32"/>
          <w:szCs w:val="32"/>
          <w:lang w:val="zh-TW" w:eastAsia="zh-TW"/>
        </w:rPr>
        <w:t>件，同期结案率为</w:t>
      </w:r>
      <w:r>
        <w:rPr>
          <w:rFonts w:ascii="仿宋_GB2312" w:eastAsia="仿宋_GB2312" w:hAnsi="仿宋_GB2312" w:cs="仿宋_GB2312"/>
          <w:kern w:val="0"/>
          <w:sz w:val="32"/>
          <w:szCs w:val="32"/>
        </w:rPr>
        <w:t>101.7%</w:t>
      </w:r>
      <w:r>
        <w:rPr>
          <w:rFonts w:ascii="仿宋_GB2312" w:eastAsia="仿宋_GB2312" w:hAnsi="仿宋_GB2312" w:cs="仿宋_GB2312" w:hint="eastAsia"/>
          <w:kern w:val="0"/>
          <w:sz w:val="32"/>
          <w:szCs w:val="32"/>
          <w:lang w:val="zh-TW"/>
        </w:rPr>
        <w:t>，</w:t>
      </w:r>
      <w:r>
        <w:rPr>
          <w:rFonts w:ascii="仿宋_GB2312" w:eastAsia="仿宋_GB2312" w:hAnsi="仿宋_GB2312" w:cs="仿宋_GB2312" w:hint="eastAsia"/>
          <w:kern w:val="0"/>
          <w:sz w:val="32"/>
          <w:szCs w:val="32"/>
          <w:lang w:val="zh-TW" w:eastAsia="zh-TW"/>
        </w:rPr>
        <w:t>全年适用简易程序审理的行政案件</w:t>
      </w:r>
      <w:r>
        <w:rPr>
          <w:rFonts w:ascii="仿宋_GB2312" w:eastAsia="仿宋_GB2312" w:hAnsi="仿宋_GB2312" w:cs="仿宋_GB2312"/>
          <w:kern w:val="0"/>
          <w:sz w:val="32"/>
          <w:szCs w:val="32"/>
        </w:rPr>
        <w:t>1214</w:t>
      </w:r>
      <w:r>
        <w:rPr>
          <w:rFonts w:ascii="仿宋_GB2312" w:eastAsia="仿宋_GB2312" w:hAnsi="仿宋_GB2312" w:cs="仿宋_GB2312" w:hint="eastAsia"/>
          <w:kern w:val="0"/>
          <w:sz w:val="32"/>
          <w:szCs w:val="32"/>
          <w:lang w:val="zh-TW" w:eastAsia="zh-TW"/>
        </w:rPr>
        <w:t>件</w:t>
      </w:r>
      <w:r>
        <w:rPr>
          <w:rFonts w:ascii="仿宋_GB2312" w:eastAsia="仿宋_GB2312" w:hAnsi="仿宋_GB2312" w:cs="仿宋_GB2312" w:hint="eastAsia"/>
          <w:kern w:val="0"/>
          <w:sz w:val="32"/>
          <w:szCs w:val="32"/>
          <w:lang w:val="zh-TW"/>
        </w:rPr>
        <w:t>，</w:t>
      </w:r>
      <w:r>
        <w:rPr>
          <w:rFonts w:ascii="仿宋_GB2312" w:eastAsia="仿宋_GB2312" w:hAnsi="仿宋_GB2312" w:cs="仿宋_GB2312" w:hint="eastAsia"/>
          <w:kern w:val="0"/>
          <w:sz w:val="32"/>
          <w:szCs w:val="32"/>
          <w:lang w:val="zh-TW" w:eastAsia="zh-TW"/>
        </w:rPr>
        <w:t>适用简易程序的比例</w:t>
      </w:r>
      <w:r>
        <w:rPr>
          <w:rFonts w:ascii="仿宋_GB2312" w:eastAsia="仿宋_GB2312" w:hAnsi="仿宋_GB2312" w:cs="仿宋_GB2312" w:hint="eastAsia"/>
          <w:kern w:val="0"/>
          <w:sz w:val="32"/>
          <w:szCs w:val="32"/>
          <w:lang w:val="zh-TW"/>
        </w:rPr>
        <w:t>为</w:t>
      </w:r>
      <w:r>
        <w:rPr>
          <w:rFonts w:ascii="仿宋_GB2312" w:eastAsia="仿宋_GB2312" w:hAnsi="仿宋_GB2312" w:cs="仿宋_GB2312"/>
          <w:kern w:val="0"/>
          <w:sz w:val="32"/>
          <w:szCs w:val="32"/>
        </w:rPr>
        <w:t>23.4%</w:t>
      </w:r>
      <w:r>
        <w:rPr>
          <w:rFonts w:ascii="仿宋_GB2312" w:eastAsia="仿宋_GB2312" w:hAnsi="仿宋_GB2312" w:cs="仿宋_GB2312" w:hint="eastAsia"/>
          <w:kern w:val="0"/>
          <w:sz w:val="32"/>
          <w:szCs w:val="32"/>
          <w:lang w:val="zh-TW" w:eastAsia="zh-TW"/>
        </w:rPr>
        <w:t>。</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lang w:val="zh-TW" w:eastAsia="zh-TW"/>
        </w:rPr>
        <w:t>年</w:t>
      </w:r>
      <w:r>
        <w:rPr>
          <w:rFonts w:ascii="仿宋_GB2312" w:eastAsia="仿宋_GB2312" w:hAnsi="仿宋_GB2312" w:cs="仿宋_GB2312" w:hint="eastAsia"/>
          <w:kern w:val="0"/>
          <w:sz w:val="32"/>
          <w:szCs w:val="32"/>
          <w:lang w:val="zh-TW"/>
        </w:rPr>
        <w:t>，</w:t>
      </w:r>
      <w:r>
        <w:rPr>
          <w:rFonts w:ascii="仿宋_GB2312" w:eastAsia="仿宋_GB2312" w:hAnsi="仿宋_GB2312" w:cs="仿宋_GB2312" w:hint="eastAsia"/>
          <w:kern w:val="0"/>
          <w:sz w:val="32"/>
          <w:szCs w:val="32"/>
          <w:lang w:val="zh-TW" w:eastAsia="zh-TW"/>
        </w:rPr>
        <w:t>本市法院一审行政案件的平均审理天数</w:t>
      </w:r>
      <w:r>
        <w:rPr>
          <w:rFonts w:ascii="仿宋_GB2312" w:eastAsia="仿宋_GB2312" w:hAnsi="仿宋_GB2312" w:cs="仿宋_GB2312" w:hint="eastAsia"/>
          <w:kern w:val="0"/>
          <w:sz w:val="32"/>
          <w:szCs w:val="32"/>
          <w:lang w:val="zh-TW"/>
        </w:rPr>
        <w:t>为</w:t>
      </w:r>
      <w:r>
        <w:rPr>
          <w:rFonts w:ascii="仿宋_GB2312" w:eastAsia="仿宋_GB2312" w:hAnsi="仿宋_GB2312" w:cs="仿宋_GB2312"/>
          <w:kern w:val="0"/>
          <w:sz w:val="32"/>
          <w:szCs w:val="32"/>
        </w:rPr>
        <w:t>89</w:t>
      </w:r>
      <w:r>
        <w:rPr>
          <w:rFonts w:ascii="仿宋_GB2312" w:eastAsia="仿宋_GB2312" w:hAnsi="仿宋_GB2312" w:cs="仿宋_GB2312" w:hint="eastAsia"/>
          <w:kern w:val="0"/>
          <w:sz w:val="32"/>
          <w:szCs w:val="32"/>
          <w:lang w:val="zh-TW" w:eastAsia="zh-TW"/>
        </w:rPr>
        <w:t>天。</w:t>
      </w:r>
      <w:r>
        <w:rPr>
          <w:rFonts w:ascii="仿宋_GB2312" w:eastAsia="仿宋_GB2312" w:hAnsi="仿宋_GB2312" w:cs="仿宋_GB2312" w:hint="eastAsia"/>
          <w:kern w:val="0"/>
          <w:sz w:val="32"/>
          <w:szCs w:val="32"/>
          <w:lang w:val="zh-TW"/>
        </w:rPr>
        <w:t>其中，</w:t>
      </w:r>
      <w:r w:rsidRPr="00013538">
        <w:rPr>
          <w:rFonts w:ascii="仿宋_GB2312" w:eastAsia="仿宋_GB2312" w:hAnsi="仿宋_GB2312" w:cs="仿宋_GB2312" w:hint="eastAsia"/>
          <w:kern w:val="0"/>
          <w:sz w:val="32"/>
          <w:szCs w:val="32"/>
        </w:rPr>
        <w:t>征收类一审行政案件的平均审理天数由上一年度的</w:t>
      </w:r>
      <w:r>
        <w:rPr>
          <w:rFonts w:ascii="仿宋_GB2312" w:eastAsia="仿宋_GB2312" w:hAnsi="仿宋_GB2312" w:cs="仿宋_GB2312"/>
          <w:kern w:val="0"/>
          <w:sz w:val="32"/>
          <w:szCs w:val="32"/>
        </w:rPr>
        <w:t>149</w:t>
      </w:r>
      <w:r w:rsidRPr="00013538">
        <w:rPr>
          <w:rFonts w:ascii="仿宋_GB2312" w:eastAsia="仿宋_GB2312" w:hAnsi="仿宋_GB2312" w:cs="仿宋_GB2312" w:hint="eastAsia"/>
          <w:kern w:val="0"/>
          <w:sz w:val="32"/>
          <w:szCs w:val="32"/>
        </w:rPr>
        <w:t>天缩减到</w:t>
      </w:r>
      <w:r>
        <w:rPr>
          <w:rFonts w:ascii="仿宋_GB2312" w:eastAsia="仿宋_GB2312" w:hAnsi="仿宋_GB2312" w:cs="仿宋_GB2312"/>
          <w:kern w:val="0"/>
          <w:sz w:val="32"/>
          <w:szCs w:val="32"/>
        </w:rPr>
        <w:t>131</w:t>
      </w:r>
      <w:r w:rsidRPr="00013538">
        <w:rPr>
          <w:rFonts w:ascii="仿宋_GB2312" w:eastAsia="仿宋_GB2312" w:hAnsi="仿宋_GB2312" w:cs="仿宋_GB2312" w:hint="eastAsia"/>
          <w:kern w:val="0"/>
          <w:sz w:val="32"/>
          <w:szCs w:val="32"/>
        </w:rPr>
        <w:t>天</w:t>
      </w:r>
      <w:r>
        <w:rPr>
          <w:rFonts w:ascii="仿宋_GB2312" w:eastAsia="仿宋_GB2312" w:hAnsi="仿宋_GB2312" w:cs="仿宋_GB2312" w:hint="eastAsia"/>
          <w:kern w:val="0"/>
          <w:sz w:val="32"/>
          <w:szCs w:val="32"/>
        </w:rPr>
        <w:t>。</w:t>
      </w:r>
    </w:p>
    <w:p w:rsidR="00B77459" w:rsidRPr="00013538" w:rsidRDefault="00B77459" w:rsidP="00013538">
      <w:pPr>
        <w:spacing w:line="680" w:lineRule="exact"/>
        <w:ind w:firstLine="640"/>
        <w:rPr>
          <w:rFonts w:ascii="仿宋_GB2312" w:eastAsia="仿宋_GB2312" w:hAnsi="仿宋_GB2312"/>
          <w:kern w:val="0"/>
          <w:sz w:val="32"/>
          <w:szCs w:val="32"/>
        </w:rPr>
      </w:pPr>
      <w:r>
        <w:rPr>
          <w:rFonts w:ascii="楷体_GB2312" w:eastAsia="楷体_GB2312" w:hAnsi="楷体_GB2312" w:cs="楷体_GB2312" w:hint="eastAsia"/>
          <w:b/>
          <w:bCs/>
          <w:sz w:val="32"/>
          <w:szCs w:val="32"/>
          <w:lang w:val="zh-TW" w:eastAsia="zh-TW"/>
        </w:rPr>
        <w:t>（六）服务法治化营商环境有所作为</w:t>
      </w:r>
    </w:p>
    <w:p w:rsidR="00B77459" w:rsidRDefault="00B77459" w:rsidP="00F250E6">
      <w:pPr>
        <w:spacing w:line="680" w:lineRule="exact"/>
        <w:ind w:firstLineChars="200" w:firstLine="31680"/>
        <w:rPr>
          <w:rFonts w:ascii="仿宋_GB2312" w:eastAsia="仿宋_GB2312" w:hAnsi="仿宋_GB2312"/>
          <w:kern w:val="0"/>
          <w:sz w:val="32"/>
          <w:szCs w:val="32"/>
        </w:rPr>
      </w:pPr>
      <w:r>
        <w:rPr>
          <w:rFonts w:ascii="仿宋_GB2312" w:eastAsia="仿宋_GB2312" w:hAnsi="仿宋_GB2312" w:cs="仿宋_GB2312"/>
          <w:kern w:val="0"/>
          <w:sz w:val="32"/>
          <w:szCs w:val="32"/>
        </w:rPr>
        <w:t>2019</w:t>
      </w:r>
      <w:r w:rsidRPr="00013538">
        <w:rPr>
          <w:rFonts w:ascii="仿宋_GB2312" w:eastAsia="仿宋_GB2312" w:hAnsi="仿宋_GB2312" w:cs="仿宋_GB2312" w:hint="eastAsia"/>
          <w:kern w:val="0"/>
          <w:sz w:val="32"/>
          <w:szCs w:val="32"/>
        </w:rPr>
        <w:t>年，本市法院加强对工商登记、市场监管、金融监管、产权保护等行政案件的司法审查，支持促进政府部门积极推进放管服改革，完善执法体制</w:t>
      </w:r>
      <w:r>
        <w:rPr>
          <w:rFonts w:ascii="仿宋_GB2312" w:eastAsia="仿宋_GB2312" w:hAnsi="仿宋_GB2312" w:cs="仿宋_GB2312" w:hint="eastAsia"/>
          <w:kern w:val="0"/>
          <w:sz w:val="32"/>
          <w:szCs w:val="32"/>
        </w:rPr>
        <w:t>，</w:t>
      </w:r>
      <w:r w:rsidRPr="00013538">
        <w:rPr>
          <w:rFonts w:ascii="仿宋_GB2312" w:eastAsia="仿宋_GB2312" w:hAnsi="仿宋_GB2312" w:cs="仿宋_GB2312" w:hint="eastAsia"/>
          <w:kern w:val="0"/>
          <w:sz w:val="32"/>
          <w:szCs w:val="32"/>
        </w:rPr>
        <w:t>创新监管方式；积极落实市委关于浦东新区改革开放再出发的重要部署，就如何服务保障浦东新区改革开放再出发进行专题调研，</w:t>
      </w:r>
      <w:r>
        <w:rPr>
          <w:rFonts w:ascii="仿宋_GB2312" w:eastAsia="仿宋_GB2312" w:hAnsi="仿宋_GB2312" w:cs="仿宋_GB2312" w:hint="eastAsia"/>
          <w:kern w:val="0"/>
          <w:sz w:val="32"/>
          <w:szCs w:val="32"/>
        </w:rPr>
        <w:t>就相关</w:t>
      </w:r>
      <w:r w:rsidRPr="00013538">
        <w:rPr>
          <w:rFonts w:ascii="仿宋_GB2312" w:eastAsia="仿宋_GB2312" w:hAnsi="仿宋_GB2312" w:cs="仿宋_GB2312" w:hint="eastAsia"/>
          <w:kern w:val="0"/>
          <w:sz w:val="32"/>
          <w:szCs w:val="32"/>
        </w:rPr>
        <w:t>问题提出意见建议。</w:t>
      </w:r>
    </w:p>
    <w:p w:rsidR="00B77459" w:rsidRDefault="00B77459" w:rsidP="00F250E6">
      <w:pPr>
        <w:spacing w:line="680" w:lineRule="exact"/>
        <w:ind w:firstLineChars="200" w:firstLine="31680"/>
        <w:rPr>
          <w:rFonts w:ascii="黑体" w:eastAsia="黑体" w:hAnsi="黑体"/>
          <w:sz w:val="32"/>
          <w:szCs w:val="32"/>
        </w:rPr>
      </w:pPr>
      <w:r>
        <w:rPr>
          <w:rFonts w:ascii="黑体" w:eastAsia="黑体" w:hAnsi="黑体" w:cs="黑体" w:hint="eastAsia"/>
          <w:sz w:val="32"/>
          <w:szCs w:val="32"/>
          <w:lang w:val="zh-TW" w:eastAsia="zh-TW"/>
        </w:rPr>
        <w:t>二、行政诉讼中发现的问题</w:t>
      </w:r>
    </w:p>
    <w:p w:rsidR="00B77459" w:rsidRDefault="00B77459" w:rsidP="00F250E6">
      <w:pPr>
        <w:spacing w:line="680" w:lineRule="exact"/>
        <w:ind w:firstLineChars="200" w:firstLine="31680"/>
        <w:rPr>
          <w:rFonts w:ascii="黑体" w:eastAsia="黑体" w:hAnsi="黑体"/>
          <w:sz w:val="32"/>
          <w:szCs w:val="32"/>
        </w:rPr>
      </w:pPr>
      <w:r>
        <w:rPr>
          <w:rFonts w:ascii="楷体_GB2312" w:eastAsia="楷体_GB2312" w:hAnsi="楷体_GB2312" w:cs="楷体_GB2312" w:hint="eastAsia"/>
          <w:b/>
          <w:bCs/>
          <w:sz w:val="32"/>
          <w:szCs w:val="32"/>
          <w:lang w:val="zh-TW" w:eastAsia="zh-TW"/>
        </w:rPr>
        <w:t>（一）行政执法工作中存在的问题</w:t>
      </w:r>
    </w:p>
    <w:p w:rsidR="00B77459" w:rsidRDefault="00B77459" w:rsidP="00F250E6">
      <w:pPr>
        <w:spacing w:line="680" w:lineRule="exact"/>
        <w:ind w:firstLineChars="200" w:firstLine="31680"/>
        <w:rPr>
          <w:rFonts w:ascii="黑体" w:eastAsia="黑体" w:hAnsi="黑体"/>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年本市各级行政机关推进法治政府建设</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依法行政的情况总体较好，但从部分案件中也反映出行政执法中的一些问题</w:t>
      </w:r>
      <w:r>
        <w:rPr>
          <w:rFonts w:ascii="仿宋_GB2312" w:eastAsia="仿宋_GB2312" w:hAnsi="仿宋_GB2312" w:cs="仿宋_GB2312" w:hint="eastAsia"/>
          <w:sz w:val="32"/>
          <w:szCs w:val="32"/>
          <w:lang w:val="zh-TW"/>
        </w:rPr>
        <w:t>。有些</w:t>
      </w:r>
      <w:r>
        <w:rPr>
          <w:rFonts w:ascii="仿宋_GB2312" w:eastAsia="仿宋_GB2312" w:hAnsi="仿宋_GB2312" w:cs="仿宋_GB2312" w:hint="eastAsia"/>
          <w:sz w:val="32"/>
          <w:szCs w:val="32"/>
          <w:lang w:val="zh-TW" w:eastAsia="zh-TW"/>
        </w:rPr>
        <w:t>基层单位执法规范意识有待加强</w:t>
      </w:r>
      <w:r>
        <w:rPr>
          <w:rFonts w:ascii="仿宋_GB2312" w:eastAsia="仿宋_GB2312" w:hAnsi="仿宋_GB2312" w:cs="仿宋_GB2312" w:hint="eastAsia"/>
          <w:sz w:val="32"/>
          <w:szCs w:val="32"/>
          <w:lang w:val="zh-TW"/>
        </w:rPr>
        <w:t>；有些行政机关对</w:t>
      </w:r>
      <w:r>
        <w:rPr>
          <w:rFonts w:ascii="仿宋_GB2312" w:eastAsia="仿宋_GB2312" w:hAnsi="仿宋_GB2312" w:cs="仿宋_GB2312" w:hint="eastAsia"/>
          <w:sz w:val="32"/>
          <w:szCs w:val="32"/>
          <w:lang w:val="zh-TW" w:eastAsia="zh-TW"/>
        </w:rPr>
        <w:t>行政合理性原则认识不够充分</w:t>
      </w:r>
      <w:r>
        <w:rPr>
          <w:rFonts w:ascii="仿宋_GB2312" w:eastAsia="仿宋_GB2312" w:hAnsi="仿宋_GB2312" w:cs="仿宋_GB2312" w:hint="eastAsia"/>
          <w:sz w:val="32"/>
          <w:szCs w:val="32"/>
          <w:lang w:val="zh-TW"/>
        </w:rPr>
        <w:t>；还有些</w:t>
      </w:r>
      <w:r>
        <w:rPr>
          <w:rFonts w:ascii="仿宋_GB2312" w:eastAsia="仿宋_GB2312" w:hAnsi="仿宋_GB2312" w:cs="仿宋_GB2312" w:hint="eastAsia"/>
          <w:sz w:val="32"/>
          <w:szCs w:val="32"/>
          <w:lang w:val="zh-TW" w:eastAsia="zh-TW"/>
        </w:rPr>
        <w:t>行政执法</w:t>
      </w:r>
      <w:r>
        <w:rPr>
          <w:rFonts w:ascii="仿宋_GB2312" w:eastAsia="仿宋_GB2312" w:hAnsi="仿宋_GB2312" w:cs="仿宋_GB2312" w:hint="eastAsia"/>
          <w:sz w:val="32"/>
          <w:szCs w:val="32"/>
          <w:lang w:val="zh-TW"/>
        </w:rPr>
        <w:t>领域</w:t>
      </w:r>
      <w:r>
        <w:rPr>
          <w:rFonts w:ascii="仿宋_GB2312" w:eastAsia="仿宋_GB2312" w:hAnsi="仿宋_GB2312" w:cs="仿宋_GB2312" w:hint="eastAsia"/>
          <w:sz w:val="32"/>
          <w:szCs w:val="32"/>
          <w:lang w:val="zh-TW" w:eastAsia="zh-TW"/>
        </w:rPr>
        <w:t>程序违法</w:t>
      </w:r>
      <w:r>
        <w:rPr>
          <w:rFonts w:ascii="仿宋_GB2312" w:eastAsia="仿宋_GB2312" w:hAnsi="仿宋_GB2312" w:cs="仿宋_GB2312" w:hint="eastAsia"/>
          <w:sz w:val="32"/>
          <w:szCs w:val="32"/>
          <w:lang w:val="zh-TW"/>
        </w:rPr>
        <w:t>的情况</w:t>
      </w:r>
      <w:r>
        <w:rPr>
          <w:rFonts w:ascii="仿宋_GB2312" w:eastAsia="仿宋_GB2312" w:hAnsi="仿宋_GB2312" w:cs="仿宋_GB2312" w:hint="eastAsia"/>
          <w:sz w:val="32"/>
          <w:szCs w:val="32"/>
          <w:lang w:val="zh-TW" w:eastAsia="zh-TW"/>
        </w:rPr>
        <w:t>时有发生。</w:t>
      </w:r>
    </w:p>
    <w:p w:rsidR="00B77459" w:rsidRPr="00013538" w:rsidRDefault="00B77459" w:rsidP="00F250E6">
      <w:pPr>
        <w:spacing w:line="680" w:lineRule="exact"/>
        <w:ind w:firstLineChars="200" w:firstLine="31680"/>
        <w:rPr>
          <w:rFonts w:ascii="黑体" w:eastAsia="黑体" w:hAnsi="黑体"/>
          <w:sz w:val="32"/>
          <w:szCs w:val="32"/>
        </w:rPr>
      </w:pPr>
      <w:r>
        <w:rPr>
          <w:rFonts w:ascii="楷体_GB2312" w:eastAsia="楷体_GB2312" w:hAnsi="楷体_GB2312" w:cs="楷体_GB2312" w:hint="eastAsia"/>
          <w:b/>
          <w:bCs/>
          <w:sz w:val="32"/>
          <w:szCs w:val="32"/>
          <w:lang w:val="zh-TW" w:eastAsia="zh-TW"/>
        </w:rPr>
        <w:t>（二）行政应诉工作中存在的问题</w:t>
      </w:r>
    </w:p>
    <w:p w:rsidR="00B77459" w:rsidRDefault="00B77459" w:rsidP="00F250E6">
      <w:pPr>
        <w:spacing w:line="680" w:lineRule="exact"/>
        <w:ind w:firstLineChars="200" w:firstLine="31680"/>
        <w:rPr>
          <w:rFonts w:ascii="仿宋_GB2312" w:eastAsia="仿宋_GB2312" w:hAnsi="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TW" w:eastAsia="zh-TW"/>
        </w:rPr>
        <w:t>年本市行政机关</w:t>
      </w:r>
      <w:r>
        <w:rPr>
          <w:rFonts w:ascii="仿宋_GB2312" w:eastAsia="仿宋_GB2312" w:hAnsi="仿宋_GB2312" w:cs="仿宋_GB2312" w:hint="eastAsia"/>
          <w:sz w:val="32"/>
          <w:szCs w:val="32"/>
          <w:lang w:val="zh-TW"/>
        </w:rPr>
        <w:t>在行政应诉工作中问题主要表现为：</w:t>
      </w:r>
      <w:r>
        <w:rPr>
          <w:rFonts w:ascii="仿宋_GB2312" w:eastAsia="仿宋_GB2312" w:hAnsi="仿宋_GB2312" w:cs="仿宋_GB2312" w:hint="eastAsia"/>
          <w:sz w:val="32"/>
          <w:szCs w:val="32"/>
          <w:lang w:val="zh-TW" w:eastAsia="zh-TW"/>
        </w:rPr>
        <w:t>参与行政诉讼的主动意识尚需进一步提升</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应诉水平和答辩能力还需加强</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参与诉讼化解行政争议的积极性有待提高。</w:t>
      </w:r>
    </w:p>
    <w:p w:rsidR="00B77459" w:rsidRDefault="00B77459" w:rsidP="00F250E6">
      <w:pPr>
        <w:spacing w:line="680" w:lineRule="exact"/>
        <w:ind w:firstLineChars="200" w:firstLine="31680"/>
        <w:rPr>
          <w:rFonts w:ascii="仿宋_GB2312" w:eastAsia="仿宋_GB2312" w:hAnsi="仿宋_GB2312"/>
          <w:sz w:val="32"/>
          <w:szCs w:val="32"/>
        </w:rPr>
      </w:pPr>
      <w:r>
        <w:rPr>
          <w:rFonts w:ascii="黑体" w:eastAsia="黑体" w:hAnsi="黑体" w:cs="黑体" w:hint="eastAsia"/>
          <w:sz w:val="32"/>
          <w:szCs w:val="32"/>
          <w:lang w:val="zh-TW" w:eastAsia="zh-TW"/>
        </w:rPr>
        <w:t>三、关于法治政府建设的相关建议</w:t>
      </w:r>
    </w:p>
    <w:p w:rsidR="00B77459" w:rsidRDefault="00B77459" w:rsidP="00F250E6">
      <w:pPr>
        <w:spacing w:line="68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lang w:val="zh-TW" w:eastAsia="zh-TW"/>
        </w:rPr>
        <w:t>一是提高依法行政水平，为提升城市核心竞争力提供法治动力。</w:t>
      </w:r>
      <w:r w:rsidRPr="001514BB">
        <w:rPr>
          <w:rFonts w:ascii="仿宋_GB2312" w:eastAsia="仿宋_GB2312" w:hAnsi="仿宋_GB2312" w:cs="仿宋_GB2312" w:hint="eastAsia"/>
          <w:kern w:val="0"/>
          <w:sz w:val="32"/>
          <w:szCs w:val="32"/>
          <w:lang w:val="zh-TW" w:eastAsia="zh-TW"/>
        </w:rPr>
        <w:t>依法行政是法治政府建设的基石，</w:t>
      </w:r>
      <w:r>
        <w:rPr>
          <w:rFonts w:ascii="仿宋_GB2312" w:eastAsia="仿宋_GB2312" w:hAnsi="仿宋_GB2312" w:cs="仿宋_GB2312" w:hint="eastAsia"/>
          <w:kern w:val="0"/>
          <w:sz w:val="32"/>
          <w:szCs w:val="32"/>
          <w:lang w:val="zh-CN"/>
        </w:rPr>
        <w:t>是</w:t>
      </w:r>
      <w:r>
        <w:rPr>
          <w:rFonts w:ascii="仿宋_GB2312" w:eastAsia="仿宋_GB2312" w:hAnsi="仿宋_GB2312" w:cs="仿宋_GB2312" w:hint="eastAsia"/>
          <w:kern w:val="0"/>
          <w:sz w:val="32"/>
          <w:szCs w:val="32"/>
          <w:lang w:val="zh-TW" w:eastAsia="zh-TW"/>
        </w:rPr>
        <w:t>城市核心竞争力</w:t>
      </w:r>
      <w:r>
        <w:rPr>
          <w:rFonts w:ascii="仿宋_GB2312" w:eastAsia="仿宋_GB2312" w:hAnsi="仿宋_GB2312" w:cs="仿宋_GB2312" w:hint="eastAsia"/>
          <w:kern w:val="0"/>
          <w:sz w:val="32"/>
          <w:szCs w:val="32"/>
          <w:lang w:val="zh-CN"/>
        </w:rPr>
        <w:t>和治理能力现代化</w:t>
      </w:r>
      <w:r>
        <w:rPr>
          <w:rFonts w:ascii="仿宋_GB2312" w:eastAsia="仿宋_GB2312" w:hAnsi="仿宋_GB2312" w:cs="仿宋_GB2312" w:hint="eastAsia"/>
          <w:kern w:val="0"/>
          <w:sz w:val="32"/>
          <w:szCs w:val="32"/>
          <w:lang w:val="zh-TW" w:eastAsia="zh-TW"/>
        </w:rPr>
        <w:t>的重要</w:t>
      </w:r>
      <w:r>
        <w:rPr>
          <w:rFonts w:ascii="仿宋_GB2312" w:eastAsia="仿宋_GB2312" w:hAnsi="仿宋_GB2312" w:cs="仿宋_GB2312" w:hint="eastAsia"/>
          <w:kern w:val="0"/>
          <w:sz w:val="32"/>
          <w:szCs w:val="32"/>
          <w:lang w:val="zh-CN"/>
        </w:rPr>
        <w:t>体现</w:t>
      </w:r>
      <w:r>
        <w:rPr>
          <w:rFonts w:ascii="仿宋_GB2312" w:eastAsia="仿宋_GB2312" w:hAnsi="仿宋_GB2312" w:cs="仿宋_GB2312" w:hint="eastAsia"/>
          <w:kern w:val="0"/>
          <w:sz w:val="32"/>
          <w:szCs w:val="32"/>
          <w:lang w:val="zh-TW" w:eastAsia="zh-TW"/>
        </w:rPr>
        <w:t>。上海法院将为提高城市治理能力和治理水平提供司法服务和司法保障。希望本市行政机关</w:t>
      </w:r>
      <w:r>
        <w:rPr>
          <w:rFonts w:ascii="仿宋_GB2312" w:eastAsia="仿宋_GB2312" w:hAnsi="仿宋_GB2312" w:cs="仿宋_GB2312" w:hint="eastAsia"/>
          <w:kern w:val="0"/>
          <w:sz w:val="32"/>
          <w:szCs w:val="32"/>
          <w:lang w:val="zh-CN"/>
        </w:rPr>
        <w:t>切实关注诉讼中反映出的</w:t>
      </w:r>
      <w:r>
        <w:rPr>
          <w:rFonts w:ascii="仿宋_GB2312" w:eastAsia="仿宋_GB2312" w:hAnsi="仿宋_GB2312" w:cs="仿宋_GB2312" w:hint="eastAsia"/>
          <w:kern w:val="0"/>
          <w:sz w:val="32"/>
          <w:szCs w:val="32"/>
          <w:lang w:val="zh-TW" w:eastAsia="zh-TW"/>
        </w:rPr>
        <w:t>各类执法问题，坚持法治引领，健全决策科学、执行坚决、监督有力的运行机制，不断提升依法治理的能力和水平。</w:t>
      </w:r>
    </w:p>
    <w:p w:rsidR="00B77459" w:rsidRDefault="00B77459" w:rsidP="00F250E6">
      <w:pPr>
        <w:spacing w:line="68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lang w:val="zh-TW" w:eastAsia="zh-TW"/>
        </w:rPr>
        <w:t>二是提高依法应诉能力，健全完善行政应诉工作机制。</w:t>
      </w:r>
      <w:r>
        <w:rPr>
          <w:rFonts w:ascii="仿宋_GB2312" w:eastAsia="仿宋_GB2312" w:hAnsi="仿宋_GB2312" w:cs="仿宋_GB2312" w:hint="eastAsia"/>
          <w:kern w:val="0"/>
          <w:sz w:val="32"/>
          <w:szCs w:val="32"/>
          <w:lang w:val="zh-TW" w:eastAsia="zh-TW"/>
        </w:rPr>
        <w:t>上海法院今年将逐步探索行政案件网上立案，对于符合起诉条件的案件依法予以登记立案。</w:t>
      </w:r>
      <w:r>
        <w:rPr>
          <w:rFonts w:ascii="仿宋_GB2312" w:eastAsia="仿宋_GB2312" w:hAnsi="仿宋_GB2312" w:cs="仿宋_GB2312" w:hint="eastAsia"/>
          <w:kern w:val="0"/>
          <w:sz w:val="32"/>
          <w:szCs w:val="32"/>
          <w:lang w:val="zh-TW"/>
        </w:rPr>
        <w:t>为进一步提高依法应诉能力，本市将制定</w:t>
      </w:r>
      <w:r>
        <w:rPr>
          <w:rFonts w:ascii="仿宋_GB2312" w:eastAsia="仿宋_GB2312" w:hAnsi="仿宋_GB2312" w:cs="仿宋_GB2312" w:hint="eastAsia"/>
          <w:kern w:val="0"/>
          <w:sz w:val="32"/>
          <w:szCs w:val="32"/>
          <w:lang w:val="zh-TW" w:eastAsia="zh-TW"/>
        </w:rPr>
        <w:t>《上海市行政应诉工作规定》。</w:t>
      </w:r>
      <w:r>
        <w:rPr>
          <w:rFonts w:ascii="仿宋_GB2312" w:eastAsia="仿宋_GB2312" w:hAnsi="仿宋_GB2312" w:cs="仿宋_GB2312" w:hint="eastAsia"/>
          <w:kern w:val="0"/>
          <w:sz w:val="32"/>
          <w:szCs w:val="32"/>
          <w:lang w:val="zh-CN"/>
        </w:rPr>
        <w:t>法院将进一步</w:t>
      </w:r>
      <w:r>
        <w:rPr>
          <w:rFonts w:ascii="仿宋_GB2312" w:eastAsia="仿宋_GB2312" w:hAnsi="仿宋_GB2312" w:cs="仿宋_GB2312" w:hint="eastAsia"/>
          <w:kern w:val="0"/>
          <w:sz w:val="32"/>
          <w:szCs w:val="32"/>
          <w:lang w:val="zh-TW" w:eastAsia="zh-TW"/>
        </w:rPr>
        <w:t>推进行政机关负责人出庭应诉和旁听审理工作，</w:t>
      </w:r>
      <w:r>
        <w:rPr>
          <w:rFonts w:ascii="仿宋_GB2312" w:eastAsia="仿宋_GB2312" w:hAnsi="仿宋_GB2312" w:cs="仿宋_GB2312" w:hint="eastAsia"/>
          <w:kern w:val="0"/>
          <w:sz w:val="32"/>
          <w:szCs w:val="32"/>
          <w:lang w:val="zh-CN"/>
        </w:rPr>
        <w:t>着力</w:t>
      </w:r>
      <w:r>
        <w:rPr>
          <w:rFonts w:ascii="仿宋_GB2312" w:eastAsia="仿宋_GB2312" w:hAnsi="仿宋_GB2312" w:cs="仿宋_GB2312" w:hint="eastAsia"/>
          <w:kern w:val="0"/>
          <w:sz w:val="32"/>
          <w:szCs w:val="32"/>
          <w:lang w:val="zh-TW" w:eastAsia="zh-TW"/>
        </w:rPr>
        <w:t>提</w:t>
      </w:r>
      <w:r>
        <w:rPr>
          <w:rFonts w:ascii="仿宋_GB2312" w:eastAsia="仿宋_GB2312" w:hAnsi="仿宋_GB2312" w:cs="仿宋_GB2312" w:hint="eastAsia"/>
          <w:kern w:val="0"/>
          <w:sz w:val="32"/>
          <w:szCs w:val="32"/>
          <w:lang w:val="zh-CN"/>
        </w:rPr>
        <w:t>升</w:t>
      </w:r>
      <w:r>
        <w:rPr>
          <w:rFonts w:ascii="仿宋_GB2312" w:eastAsia="仿宋_GB2312" w:hAnsi="仿宋_GB2312" w:cs="仿宋_GB2312" w:hint="eastAsia"/>
          <w:kern w:val="0"/>
          <w:sz w:val="32"/>
          <w:szCs w:val="32"/>
          <w:lang w:val="zh-TW" w:eastAsia="zh-TW"/>
        </w:rPr>
        <w:t>行政机关负责人出庭应诉率</w:t>
      </w:r>
      <w:r>
        <w:rPr>
          <w:rFonts w:ascii="仿宋_GB2312" w:eastAsia="仿宋_GB2312" w:hAnsi="仿宋_GB2312" w:cs="仿宋_GB2312" w:hint="eastAsia"/>
          <w:kern w:val="0"/>
          <w:sz w:val="32"/>
          <w:szCs w:val="32"/>
          <w:lang w:val="zh-CN"/>
        </w:rPr>
        <w:t>和实质参与度</w:t>
      </w:r>
      <w:r>
        <w:rPr>
          <w:rFonts w:ascii="仿宋_GB2312" w:eastAsia="仿宋_GB2312" w:hAnsi="仿宋_GB2312" w:cs="仿宋_GB2312" w:hint="eastAsia"/>
          <w:kern w:val="0"/>
          <w:sz w:val="32"/>
          <w:szCs w:val="32"/>
          <w:lang w:val="zh-TW" w:eastAsia="zh-TW"/>
        </w:rPr>
        <w:t>，促进行政机关负责人应诉旁听制度化、常态化。</w:t>
      </w:r>
    </w:p>
    <w:p w:rsidR="00B77459" w:rsidRDefault="00B77459" w:rsidP="00F250E6">
      <w:pPr>
        <w:spacing w:line="68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lang w:val="zh-TW" w:eastAsia="zh-TW"/>
        </w:rPr>
        <w:t>三是加大复议监督力度，充分发挥行政复议解决纠纷主渠道的作用。</w:t>
      </w:r>
      <w:r>
        <w:rPr>
          <w:rFonts w:ascii="仿宋_GB2312" w:eastAsia="仿宋_GB2312" w:hAnsi="仿宋_GB2312" w:cs="仿宋_GB2312" w:hint="eastAsia"/>
          <w:sz w:val="32"/>
          <w:szCs w:val="32"/>
          <w:lang w:val="zh-TW" w:eastAsia="zh-TW"/>
        </w:rPr>
        <w:t>行政诉讼和行政复议在促进依法行政方面各自发挥着重要的作用</w:t>
      </w:r>
      <w:r>
        <w:rPr>
          <w:rFonts w:ascii="仿宋_GB2312" w:eastAsia="仿宋_GB2312" w:hAnsi="仿宋_GB2312" w:cs="仿宋_GB2312" w:hint="eastAsia"/>
          <w:kern w:val="0"/>
          <w:sz w:val="32"/>
          <w:szCs w:val="32"/>
          <w:lang w:val="zh-TW" w:eastAsia="zh-TW"/>
        </w:rPr>
        <w:t>。</w:t>
      </w:r>
      <w:r>
        <w:rPr>
          <w:rFonts w:ascii="仿宋_GB2312" w:eastAsia="仿宋_GB2312" w:hAnsi="仿宋_GB2312" w:cs="仿宋_GB2312" w:hint="eastAsia"/>
          <w:kern w:val="0"/>
          <w:sz w:val="32"/>
          <w:szCs w:val="32"/>
          <w:lang w:val="zh-CN"/>
        </w:rPr>
        <w:t>本市</w:t>
      </w:r>
      <w:r>
        <w:rPr>
          <w:rFonts w:ascii="仿宋_GB2312" w:eastAsia="仿宋_GB2312" w:hAnsi="仿宋_GB2312" w:cs="仿宋_GB2312" w:hint="eastAsia"/>
          <w:kern w:val="0"/>
          <w:sz w:val="32"/>
          <w:szCs w:val="32"/>
          <w:lang w:val="zh-TW" w:eastAsia="zh-TW"/>
        </w:rPr>
        <w:t>法院</w:t>
      </w:r>
      <w:r>
        <w:rPr>
          <w:rFonts w:ascii="仿宋_GB2312" w:eastAsia="仿宋_GB2312" w:hAnsi="仿宋_GB2312" w:cs="仿宋_GB2312" w:hint="eastAsia"/>
          <w:kern w:val="0"/>
          <w:sz w:val="32"/>
          <w:szCs w:val="32"/>
          <w:lang w:val="zh-CN"/>
        </w:rPr>
        <w:t>将加强调研，建立健全</w:t>
      </w:r>
      <w:r>
        <w:rPr>
          <w:rFonts w:ascii="仿宋_GB2312" w:eastAsia="仿宋_GB2312" w:hAnsi="仿宋_GB2312" w:cs="仿宋_GB2312" w:hint="eastAsia"/>
          <w:kern w:val="0"/>
          <w:sz w:val="32"/>
          <w:szCs w:val="32"/>
          <w:lang w:val="zh-TW" w:eastAsia="zh-TW"/>
        </w:rPr>
        <w:t>行政诉讼与行政复议在解决争议方面的衔接配合</w:t>
      </w:r>
      <w:r>
        <w:rPr>
          <w:rFonts w:ascii="仿宋_GB2312" w:eastAsia="仿宋_GB2312" w:hAnsi="仿宋_GB2312" w:cs="仿宋_GB2312" w:hint="eastAsia"/>
          <w:kern w:val="0"/>
          <w:sz w:val="32"/>
          <w:szCs w:val="32"/>
          <w:lang w:val="zh-CN"/>
        </w:rPr>
        <w:t>机制。建议</w:t>
      </w:r>
      <w:r>
        <w:rPr>
          <w:rFonts w:ascii="仿宋_GB2312" w:eastAsia="仿宋_GB2312" w:hAnsi="仿宋_GB2312" w:cs="仿宋_GB2312" w:hint="eastAsia"/>
          <w:kern w:val="0"/>
          <w:sz w:val="32"/>
          <w:szCs w:val="32"/>
          <w:lang w:val="zh-TW" w:eastAsia="zh-TW"/>
        </w:rPr>
        <w:t>政府部门以行政复议体制改革和《行政复议法》修改为契机，充分发挥行政复议解决行政纠纷主渠道的作用，促进行政争议源头治理和实质解决，更好助力法治政府建设。</w:t>
      </w:r>
    </w:p>
    <w:p w:rsidR="00B77459" w:rsidRDefault="00B77459" w:rsidP="00F250E6">
      <w:pPr>
        <w:spacing w:line="680" w:lineRule="exact"/>
        <w:ind w:firstLineChars="200" w:firstLine="31680"/>
        <w:rPr>
          <w:rFonts w:ascii="仿宋_GB2312" w:eastAsia="仿宋_GB2312" w:hAnsi="仿宋_GB2312"/>
          <w:kern w:val="0"/>
          <w:sz w:val="32"/>
          <w:szCs w:val="32"/>
          <w:lang w:val="zh-TW"/>
        </w:rPr>
      </w:pPr>
      <w:r>
        <w:rPr>
          <w:rFonts w:ascii="楷体_GB2312" w:eastAsia="楷体_GB2312" w:hAnsi="楷体_GB2312" w:cs="楷体_GB2312" w:hint="eastAsia"/>
          <w:b/>
          <w:bCs/>
          <w:sz w:val="32"/>
          <w:szCs w:val="32"/>
          <w:lang w:val="zh-TW" w:eastAsia="zh-TW"/>
        </w:rPr>
        <w:t>四是构建良性互动新平台，</w:t>
      </w:r>
      <w:r>
        <w:rPr>
          <w:rFonts w:ascii="楷体_GB2312" w:eastAsia="楷体_GB2312" w:hAnsi="楷体_GB2312" w:cs="楷体_GB2312" w:hint="eastAsia"/>
          <w:b/>
          <w:bCs/>
          <w:sz w:val="32"/>
          <w:szCs w:val="32"/>
          <w:lang w:val="zh-CN"/>
        </w:rPr>
        <w:t>切实</w:t>
      </w:r>
      <w:r>
        <w:rPr>
          <w:rFonts w:ascii="楷体_GB2312" w:eastAsia="楷体_GB2312" w:hAnsi="楷体_GB2312" w:cs="楷体_GB2312" w:hint="eastAsia"/>
          <w:b/>
          <w:bCs/>
          <w:sz w:val="32"/>
          <w:szCs w:val="32"/>
          <w:lang w:val="zh-TW" w:eastAsia="zh-TW"/>
        </w:rPr>
        <w:t>促进行政争议实质解决。</w:t>
      </w:r>
      <w:r>
        <w:rPr>
          <w:rFonts w:ascii="仿宋_GB2312" w:eastAsia="仿宋_GB2312" w:hAnsi="仿宋_GB2312" w:cs="仿宋_GB2312" w:hint="eastAsia"/>
          <w:kern w:val="0"/>
          <w:sz w:val="32"/>
          <w:szCs w:val="32"/>
          <w:lang w:val="zh-TW" w:eastAsia="zh-TW"/>
        </w:rPr>
        <w:t>建议利用互联网建立信息共享平台，进一步创新良性互动工作机制。上海高院将建立法院信息系统与上海市司法局</w:t>
      </w:r>
      <w:r>
        <w:rPr>
          <w:rFonts w:ascii="宋体" w:cs="宋体" w:hint="eastAsia"/>
          <w:kern w:val="0"/>
          <w:sz w:val="32"/>
          <w:szCs w:val="32"/>
        </w:rPr>
        <w:t>“</w:t>
      </w:r>
      <w:r>
        <w:rPr>
          <w:rFonts w:ascii="仿宋_GB2312" w:eastAsia="仿宋_GB2312" w:hAnsi="仿宋_GB2312" w:cs="仿宋_GB2312" w:hint="eastAsia"/>
          <w:kern w:val="0"/>
          <w:sz w:val="32"/>
          <w:szCs w:val="32"/>
          <w:lang w:val="zh-TW" w:eastAsia="zh-TW"/>
        </w:rPr>
        <w:t>智慧司法</w:t>
      </w:r>
      <w:r>
        <w:rPr>
          <w:rFonts w:ascii="宋体" w:cs="宋体" w:hint="eastAsia"/>
          <w:kern w:val="0"/>
          <w:sz w:val="32"/>
          <w:szCs w:val="32"/>
        </w:rPr>
        <w:t>”</w:t>
      </w:r>
      <w:r>
        <w:rPr>
          <w:rFonts w:ascii="仿宋_GB2312" w:eastAsia="仿宋_GB2312" w:hAnsi="仿宋_GB2312" w:cs="仿宋_GB2312" w:hint="eastAsia"/>
          <w:kern w:val="0"/>
          <w:sz w:val="32"/>
          <w:szCs w:val="32"/>
          <w:lang w:val="zh-TW" w:eastAsia="zh-TW"/>
        </w:rPr>
        <w:t>平台的衔接机制</w:t>
      </w:r>
      <w:r>
        <w:rPr>
          <w:rFonts w:ascii="仿宋_GB2312" w:eastAsia="仿宋_GB2312" w:hAnsi="仿宋_GB2312" w:cs="仿宋_GB2312" w:hint="eastAsia"/>
          <w:kern w:val="0"/>
          <w:sz w:val="32"/>
          <w:szCs w:val="32"/>
          <w:lang w:val="zh-TW"/>
        </w:rPr>
        <w:t>；</w:t>
      </w:r>
      <w:r>
        <w:rPr>
          <w:rFonts w:ascii="仿宋_GB2312" w:eastAsia="仿宋_GB2312" w:hAnsi="仿宋_GB2312" w:cs="仿宋_GB2312" w:hint="eastAsia"/>
          <w:kern w:val="0"/>
          <w:sz w:val="32"/>
          <w:szCs w:val="32"/>
          <w:lang w:val="zh-TW" w:eastAsia="zh-TW"/>
        </w:rPr>
        <w:t>充分发挥市司法局和市第一、第二、第三中级人民法院共同设立的行政争议多元调解联合中心的作用，探索在大调解工作格局下构建新型诉调对接模式，进一步深化司法和行政良性互动</w:t>
      </w:r>
      <w:r>
        <w:rPr>
          <w:rFonts w:ascii="仿宋_GB2312" w:eastAsia="仿宋_GB2312" w:hAnsi="仿宋_GB2312" w:cs="仿宋_GB2312" w:hint="eastAsia"/>
          <w:kern w:val="0"/>
          <w:sz w:val="32"/>
          <w:szCs w:val="32"/>
          <w:lang w:val="zh-TW"/>
        </w:rPr>
        <w:t>，</w:t>
      </w:r>
      <w:r>
        <w:rPr>
          <w:rFonts w:ascii="仿宋_GB2312" w:eastAsia="仿宋_GB2312" w:hAnsi="仿宋_GB2312" w:cs="仿宋_GB2312" w:hint="eastAsia"/>
          <w:kern w:val="0"/>
          <w:sz w:val="32"/>
          <w:szCs w:val="32"/>
          <w:lang w:val="zh-TW" w:eastAsia="zh-TW"/>
        </w:rPr>
        <w:t>促进行政争议</w:t>
      </w:r>
      <w:r>
        <w:rPr>
          <w:rFonts w:ascii="仿宋_GB2312" w:eastAsia="仿宋_GB2312" w:hAnsi="仿宋_GB2312" w:cs="仿宋_GB2312" w:hint="eastAsia"/>
          <w:kern w:val="0"/>
          <w:sz w:val="32"/>
          <w:szCs w:val="32"/>
          <w:lang w:val="zh-TW"/>
        </w:rPr>
        <w:t>实质</w:t>
      </w:r>
      <w:r>
        <w:rPr>
          <w:rFonts w:ascii="仿宋_GB2312" w:eastAsia="仿宋_GB2312" w:hAnsi="仿宋_GB2312" w:cs="仿宋_GB2312" w:hint="eastAsia"/>
          <w:kern w:val="0"/>
          <w:sz w:val="32"/>
          <w:szCs w:val="32"/>
          <w:lang w:val="zh-TW" w:eastAsia="zh-TW"/>
        </w:rPr>
        <w:t>化解。</w:t>
      </w:r>
    </w:p>
    <w:p w:rsidR="00B77459" w:rsidRDefault="00B77459" w:rsidP="00F250E6">
      <w:pPr>
        <w:spacing w:line="680" w:lineRule="exact"/>
        <w:ind w:firstLineChars="200" w:firstLine="31680"/>
        <w:rPr>
          <w:rFonts w:ascii="仿宋_GB2312" w:eastAsia="仿宋_GB2312" w:hAnsi="仿宋_GB2312"/>
          <w:kern w:val="0"/>
          <w:sz w:val="32"/>
          <w:szCs w:val="32"/>
          <w:lang w:val="zh-TW"/>
        </w:rPr>
      </w:pPr>
    </w:p>
    <w:p w:rsidR="00B77459" w:rsidRDefault="00B77459" w:rsidP="00F250E6">
      <w:pPr>
        <w:spacing w:line="680" w:lineRule="exact"/>
        <w:ind w:firstLineChars="200" w:firstLine="31680"/>
        <w:rPr>
          <w:rFonts w:ascii="仿宋_GB2312" w:eastAsia="仿宋_GB2312" w:hAnsi="仿宋_GB2312"/>
          <w:kern w:val="0"/>
          <w:sz w:val="32"/>
          <w:szCs w:val="32"/>
          <w:lang w:val="zh-TW"/>
        </w:rPr>
      </w:pPr>
    </w:p>
    <w:p w:rsidR="00B77459" w:rsidRPr="00013538" w:rsidRDefault="00B77459" w:rsidP="00F250E6">
      <w:pPr>
        <w:spacing w:line="680" w:lineRule="exact"/>
        <w:ind w:firstLineChars="200" w:firstLine="31680"/>
        <w:rPr>
          <w:rFonts w:ascii="仿宋_GB2312" w:eastAsia="仿宋_GB2312" w:hAnsi="仿宋_GB2312"/>
          <w:sz w:val="32"/>
          <w:szCs w:val="32"/>
        </w:rPr>
      </w:pPr>
    </w:p>
    <w:p w:rsidR="00B77459" w:rsidRDefault="00B77459" w:rsidP="003B3FEA">
      <w:pPr>
        <w:jc w:val="right"/>
      </w:pPr>
      <w:bookmarkStart w:id="1" w:name="gzwz"/>
      <w:bookmarkStart w:id="2" w:name="二维码"/>
      <w:bookmarkEnd w:id="1"/>
      <w:bookmarkEnd w:id="2"/>
    </w:p>
    <w:sectPr w:rsidR="00B77459" w:rsidSect="000D1CA9">
      <w:footerReference w:type="default" r:id="rId8"/>
      <w:pgSz w:w="11906" w:h="16838"/>
      <w:pgMar w:top="1440" w:right="1800" w:bottom="1440" w:left="180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59" w:rsidRDefault="00B77459">
      <w:r>
        <w:separator/>
      </w:r>
    </w:p>
  </w:endnote>
  <w:endnote w:type="continuationSeparator" w:id="1">
    <w:p w:rsidR="00B77459" w:rsidRDefault="00B77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59" w:rsidRDefault="00B77459">
    <w:pPr>
      <w:pStyle w:val="Footer"/>
      <w:jc w:val="center"/>
    </w:pPr>
    <w:fldSimple w:instr=" PAGE   \* MERGEFORMAT ">
      <w:r w:rsidRPr="00053540">
        <w:rPr>
          <w:noProof/>
          <w:lang w:val="zh-CN"/>
        </w:rPr>
        <w:t>-</w:t>
      </w:r>
      <w:r>
        <w:rPr>
          <w:noProof/>
        </w:rPr>
        <w:t xml:space="preserve"> 3 -</w:t>
      </w:r>
    </w:fldSimple>
  </w:p>
  <w:p w:rsidR="00B77459" w:rsidRDefault="00B77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59" w:rsidRDefault="00B77459">
      <w:r>
        <w:separator/>
      </w:r>
    </w:p>
  </w:footnote>
  <w:footnote w:type="continuationSeparator" w:id="1">
    <w:p w:rsidR="00B77459" w:rsidRDefault="00B774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1E8"/>
    <w:rsid w:val="000010D2"/>
    <w:rsid w:val="00013538"/>
    <w:rsid w:val="0001638B"/>
    <w:rsid w:val="00023E71"/>
    <w:rsid w:val="00043051"/>
    <w:rsid w:val="00053540"/>
    <w:rsid w:val="0006038A"/>
    <w:rsid w:val="00063DF1"/>
    <w:rsid w:val="00074D93"/>
    <w:rsid w:val="00090C3A"/>
    <w:rsid w:val="00091CDC"/>
    <w:rsid w:val="000B0FCB"/>
    <w:rsid w:val="000B3725"/>
    <w:rsid w:val="000B65F9"/>
    <w:rsid w:val="000C2B4F"/>
    <w:rsid w:val="000C3A82"/>
    <w:rsid w:val="000C74EF"/>
    <w:rsid w:val="000D0F65"/>
    <w:rsid w:val="000D1CA9"/>
    <w:rsid w:val="000F5482"/>
    <w:rsid w:val="000F6833"/>
    <w:rsid w:val="00106E97"/>
    <w:rsid w:val="00131017"/>
    <w:rsid w:val="00142BEA"/>
    <w:rsid w:val="001445BE"/>
    <w:rsid w:val="001514BB"/>
    <w:rsid w:val="001716DB"/>
    <w:rsid w:val="00176473"/>
    <w:rsid w:val="0018003D"/>
    <w:rsid w:val="00183B16"/>
    <w:rsid w:val="0019488F"/>
    <w:rsid w:val="0019610D"/>
    <w:rsid w:val="001B73F0"/>
    <w:rsid w:val="001D6F13"/>
    <w:rsid w:val="001E47B7"/>
    <w:rsid w:val="001F2A92"/>
    <w:rsid w:val="001F3079"/>
    <w:rsid w:val="002078E9"/>
    <w:rsid w:val="00263064"/>
    <w:rsid w:val="00264813"/>
    <w:rsid w:val="00282C94"/>
    <w:rsid w:val="00293532"/>
    <w:rsid w:val="00294CB5"/>
    <w:rsid w:val="002955E1"/>
    <w:rsid w:val="002B5752"/>
    <w:rsid w:val="002D24C8"/>
    <w:rsid w:val="00331C28"/>
    <w:rsid w:val="00350F24"/>
    <w:rsid w:val="0035670C"/>
    <w:rsid w:val="00366C1E"/>
    <w:rsid w:val="00371A9C"/>
    <w:rsid w:val="00371BC5"/>
    <w:rsid w:val="00382648"/>
    <w:rsid w:val="003B3FEA"/>
    <w:rsid w:val="003F0F9F"/>
    <w:rsid w:val="00413BC8"/>
    <w:rsid w:val="00417220"/>
    <w:rsid w:val="004222CA"/>
    <w:rsid w:val="00446759"/>
    <w:rsid w:val="0047130C"/>
    <w:rsid w:val="0047670F"/>
    <w:rsid w:val="00492EAB"/>
    <w:rsid w:val="004B29B9"/>
    <w:rsid w:val="004B5191"/>
    <w:rsid w:val="004C286C"/>
    <w:rsid w:val="005047F2"/>
    <w:rsid w:val="0052028A"/>
    <w:rsid w:val="00526AA7"/>
    <w:rsid w:val="00534551"/>
    <w:rsid w:val="005563B6"/>
    <w:rsid w:val="00573AC7"/>
    <w:rsid w:val="00576041"/>
    <w:rsid w:val="00595780"/>
    <w:rsid w:val="005D5580"/>
    <w:rsid w:val="005D676A"/>
    <w:rsid w:val="0062011E"/>
    <w:rsid w:val="0062482D"/>
    <w:rsid w:val="00632F3B"/>
    <w:rsid w:val="006552E4"/>
    <w:rsid w:val="00664434"/>
    <w:rsid w:val="0067563F"/>
    <w:rsid w:val="00691BC6"/>
    <w:rsid w:val="006A461E"/>
    <w:rsid w:val="006A4B52"/>
    <w:rsid w:val="006C04E4"/>
    <w:rsid w:val="006D31E8"/>
    <w:rsid w:val="006D3DF0"/>
    <w:rsid w:val="006E30A8"/>
    <w:rsid w:val="00721341"/>
    <w:rsid w:val="00737CAE"/>
    <w:rsid w:val="007446E9"/>
    <w:rsid w:val="0076769B"/>
    <w:rsid w:val="00774632"/>
    <w:rsid w:val="00785CD0"/>
    <w:rsid w:val="00797D2C"/>
    <w:rsid w:val="007B5D90"/>
    <w:rsid w:val="007D5C26"/>
    <w:rsid w:val="007F7D76"/>
    <w:rsid w:val="00800F01"/>
    <w:rsid w:val="0080219B"/>
    <w:rsid w:val="00851B7A"/>
    <w:rsid w:val="00860B37"/>
    <w:rsid w:val="008A2E23"/>
    <w:rsid w:val="008A7F55"/>
    <w:rsid w:val="008E004F"/>
    <w:rsid w:val="008F172C"/>
    <w:rsid w:val="00904F64"/>
    <w:rsid w:val="00907157"/>
    <w:rsid w:val="009362CF"/>
    <w:rsid w:val="00945F11"/>
    <w:rsid w:val="009674C4"/>
    <w:rsid w:val="009712CE"/>
    <w:rsid w:val="0098490E"/>
    <w:rsid w:val="00995BF2"/>
    <w:rsid w:val="009B12CE"/>
    <w:rsid w:val="009B286E"/>
    <w:rsid w:val="009C2E52"/>
    <w:rsid w:val="009C3FC0"/>
    <w:rsid w:val="009C55B8"/>
    <w:rsid w:val="009D2FDE"/>
    <w:rsid w:val="00A22574"/>
    <w:rsid w:val="00A37923"/>
    <w:rsid w:val="00A752AF"/>
    <w:rsid w:val="00A95853"/>
    <w:rsid w:val="00AA15AA"/>
    <w:rsid w:val="00AC1B0D"/>
    <w:rsid w:val="00AE3714"/>
    <w:rsid w:val="00AE6DF3"/>
    <w:rsid w:val="00AF51A2"/>
    <w:rsid w:val="00B13835"/>
    <w:rsid w:val="00B218E9"/>
    <w:rsid w:val="00B42038"/>
    <w:rsid w:val="00B47707"/>
    <w:rsid w:val="00B55A32"/>
    <w:rsid w:val="00B60F54"/>
    <w:rsid w:val="00B6542C"/>
    <w:rsid w:val="00B77459"/>
    <w:rsid w:val="00B91EA1"/>
    <w:rsid w:val="00BC5F62"/>
    <w:rsid w:val="00BD28FD"/>
    <w:rsid w:val="00BF463D"/>
    <w:rsid w:val="00C47A81"/>
    <w:rsid w:val="00C47BC1"/>
    <w:rsid w:val="00C570EC"/>
    <w:rsid w:val="00C57764"/>
    <w:rsid w:val="00C724F9"/>
    <w:rsid w:val="00C75B55"/>
    <w:rsid w:val="00C81CCA"/>
    <w:rsid w:val="00C855C0"/>
    <w:rsid w:val="00C92247"/>
    <w:rsid w:val="00C96684"/>
    <w:rsid w:val="00C9728A"/>
    <w:rsid w:val="00CE76BD"/>
    <w:rsid w:val="00CF48A9"/>
    <w:rsid w:val="00CF69EB"/>
    <w:rsid w:val="00D012F3"/>
    <w:rsid w:val="00D0234A"/>
    <w:rsid w:val="00D10106"/>
    <w:rsid w:val="00D14D03"/>
    <w:rsid w:val="00D22B39"/>
    <w:rsid w:val="00D33969"/>
    <w:rsid w:val="00D57785"/>
    <w:rsid w:val="00D60946"/>
    <w:rsid w:val="00D72AD0"/>
    <w:rsid w:val="00D871F5"/>
    <w:rsid w:val="00D92F3A"/>
    <w:rsid w:val="00D9644C"/>
    <w:rsid w:val="00DA1593"/>
    <w:rsid w:val="00DA30B7"/>
    <w:rsid w:val="00DB363F"/>
    <w:rsid w:val="00E16769"/>
    <w:rsid w:val="00E21B9A"/>
    <w:rsid w:val="00E414D6"/>
    <w:rsid w:val="00E44D9D"/>
    <w:rsid w:val="00E53283"/>
    <w:rsid w:val="00E6237C"/>
    <w:rsid w:val="00E673ED"/>
    <w:rsid w:val="00E96277"/>
    <w:rsid w:val="00E971A1"/>
    <w:rsid w:val="00EA286A"/>
    <w:rsid w:val="00EA78B2"/>
    <w:rsid w:val="00EB7361"/>
    <w:rsid w:val="00EC749C"/>
    <w:rsid w:val="00ED2399"/>
    <w:rsid w:val="00F01A44"/>
    <w:rsid w:val="00F10ECD"/>
    <w:rsid w:val="00F15209"/>
    <w:rsid w:val="00F250E6"/>
    <w:rsid w:val="00F42E61"/>
    <w:rsid w:val="00F47D4E"/>
    <w:rsid w:val="00F76CD9"/>
    <w:rsid w:val="00F8064C"/>
    <w:rsid w:val="00FB5EFA"/>
    <w:rsid w:val="00FB7DB0"/>
    <w:rsid w:val="00FC6BD8"/>
    <w:rsid w:val="00FD34F8"/>
    <w:rsid w:val="00FF1D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E8"/>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73ED"/>
    <w:rPr>
      <w:sz w:val="18"/>
      <w:szCs w:val="18"/>
    </w:rPr>
  </w:style>
  <w:style w:type="character" w:customStyle="1" w:styleId="BalloonTextChar">
    <w:name w:val="Balloon Text Char"/>
    <w:basedOn w:val="DefaultParagraphFont"/>
    <w:link w:val="BalloonText"/>
    <w:uiPriority w:val="99"/>
    <w:semiHidden/>
    <w:locked/>
    <w:rsid w:val="00E673ED"/>
    <w:rPr>
      <w:rFonts w:ascii="Times New Roman" w:hAnsi="Times New Roman" w:cs="Times New Roman"/>
      <w:kern w:val="2"/>
      <w:sz w:val="18"/>
      <w:szCs w:val="18"/>
    </w:rPr>
  </w:style>
  <w:style w:type="paragraph" w:styleId="PlainText">
    <w:name w:val="Plain Text"/>
    <w:basedOn w:val="Normal"/>
    <w:link w:val="PlainTextChar"/>
    <w:uiPriority w:val="99"/>
    <w:rsid w:val="006D31E8"/>
    <w:rPr>
      <w:rFonts w:ascii="宋体" w:hAnsi="Courier New" w:cs="宋体"/>
      <w:kern w:val="0"/>
      <w:sz w:val="20"/>
      <w:szCs w:val="20"/>
    </w:rPr>
  </w:style>
  <w:style w:type="character" w:customStyle="1" w:styleId="PlainTextChar">
    <w:name w:val="Plain Text Char"/>
    <w:basedOn w:val="DefaultParagraphFont"/>
    <w:link w:val="PlainText"/>
    <w:uiPriority w:val="99"/>
    <w:locked/>
    <w:rsid w:val="006D31E8"/>
    <w:rPr>
      <w:rFonts w:ascii="宋体" w:eastAsia="宋体" w:hAnsi="Courier New" w:cs="宋体"/>
      <w:kern w:val="0"/>
      <w:sz w:val="21"/>
      <w:szCs w:val="21"/>
    </w:rPr>
  </w:style>
  <w:style w:type="paragraph" w:styleId="Header">
    <w:name w:val="header"/>
    <w:basedOn w:val="Normal"/>
    <w:link w:val="HeaderChar"/>
    <w:uiPriority w:val="99"/>
    <w:rsid w:val="004172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17220"/>
    <w:rPr>
      <w:rFonts w:ascii="Times New Roman" w:hAnsi="Times New Roman" w:cs="Times New Roman"/>
      <w:kern w:val="2"/>
      <w:sz w:val="18"/>
      <w:szCs w:val="18"/>
    </w:rPr>
  </w:style>
  <w:style w:type="paragraph" w:styleId="Footer">
    <w:name w:val="footer"/>
    <w:basedOn w:val="Normal"/>
    <w:link w:val="FooterChar"/>
    <w:uiPriority w:val="99"/>
    <w:rsid w:val="004172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17220"/>
    <w:rPr>
      <w:rFonts w:ascii="Times New Roman" w:hAnsi="Times New Roman" w:cs="Times New Roman"/>
      <w:kern w:val="2"/>
      <w:sz w:val="18"/>
      <w:szCs w:val="18"/>
    </w:rPr>
  </w:style>
  <w:style w:type="character" w:styleId="PageNumber">
    <w:name w:val="page number"/>
    <w:basedOn w:val="DefaultParagraphFont"/>
    <w:uiPriority w:val="99"/>
    <w:rsid w:val="004B5191"/>
    <w:rPr>
      <w:rFonts w:eastAsia="宋体"/>
      <w:sz w:val="22"/>
      <w:szCs w:val="22"/>
      <w:lang w:eastAsia="zh-CN"/>
    </w:rPr>
  </w:style>
  <w:style w:type="table" w:styleId="TableGrid">
    <w:name w:val="Table Grid"/>
    <w:basedOn w:val="TableNormal"/>
    <w:uiPriority w:val="99"/>
    <w:rsid w:val="00CF69E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922</TotalTime>
  <Pages>8</Pages>
  <Words>363</Words>
  <Characters>2070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孟劼</dc:creator>
  <cp:keywords/>
  <dc:description/>
  <cp:lastModifiedBy>Think</cp:lastModifiedBy>
  <cp:revision>4</cp:revision>
  <dcterms:created xsi:type="dcterms:W3CDTF">2020-05-28T09:09:00Z</dcterms:created>
  <dcterms:modified xsi:type="dcterms:W3CDTF">2020-05-29T00:34:00Z</dcterms:modified>
</cp:coreProperties>
</file>