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F8" w:rsidRDefault="003A08F8">
      <w:pPr>
        <w:rPr>
          <w:rFonts w:ascii="黑体" w:eastAsia="黑体" w:hAnsi="黑体" w:hint="eastAsia"/>
          <w:sz w:val="28"/>
          <w:szCs w:val="28"/>
        </w:rPr>
      </w:pPr>
    </w:p>
    <w:p w:rsidR="003A08F8" w:rsidRDefault="003A08F8" w:rsidP="003A08F8">
      <w:pPr>
        <w:jc w:val="center"/>
        <w:rPr>
          <w:rFonts w:ascii="黑体" w:eastAsia="黑体" w:hAnsi="黑体" w:hint="eastAsia"/>
          <w:sz w:val="32"/>
          <w:szCs w:val="32"/>
        </w:rPr>
      </w:pPr>
      <w:r w:rsidRPr="003A08F8">
        <w:rPr>
          <w:rFonts w:ascii="黑体" w:eastAsia="黑体" w:hAnsi="黑体" w:hint="eastAsia"/>
          <w:sz w:val="32"/>
          <w:szCs w:val="32"/>
        </w:rPr>
        <w:t>上海市长宁区人民法院</w:t>
      </w:r>
    </w:p>
    <w:p w:rsidR="003A08F8" w:rsidRPr="003A08F8" w:rsidRDefault="003A08F8" w:rsidP="003A08F8">
      <w:pPr>
        <w:jc w:val="center"/>
        <w:rPr>
          <w:rFonts w:ascii="黑体" w:eastAsia="黑体" w:hAnsi="黑体" w:hint="eastAsia"/>
          <w:sz w:val="32"/>
          <w:szCs w:val="32"/>
        </w:rPr>
      </w:pPr>
      <w:r w:rsidRPr="003A08F8">
        <w:rPr>
          <w:rFonts w:ascii="黑体" w:eastAsia="黑体" w:hAnsi="黑体" w:hint="eastAsia"/>
          <w:sz w:val="32"/>
          <w:szCs w:val="32"/>
        </w:rPr>
        <w:t>第二批《互联网空间行为规范指引》</w:t>
      </w:r>
    </w:p>
    <w:p w:rsidR="003A08F8" w:rsidRDefault="003A08F8" w:rsidP="003A08F8">
      <w:pPr>
        <w:pStyle w:val="a7"/>
        <w:ind w:left="420" w:firstLineChars="0" w:firstLine="0"/>
        <w:rPr>
          <w:rFonts w:ascii="黑体" w:eastAsia="黑体" w:hAnsi="黑体" w:hint="eastAsia"/>
          <w:sz w:val="28"/>
          <w:szCs w:val="28"/>
        </w:rPr>
      </w:pPr>
    </w:p>
    <w:p w:rsidR="000256CD" w:rsidRDefault="004A4EF0">
      <w:pPr>
        <w:pStyle w:val="a7"/>
        <w:numPr>
          <w:ilvl w:val="0"/>
          <w:numId w:val="1"/>
        </w:numPr>
        <w:ind w:firstLineChars="0"/>
        <w:rPr>
          <w:rFonts w:ascii="黑体" w:eastAsia="黑体" w:hAnsi="黑体"/>
          <w:sz w:val="28"/>
          <w:szCs w:val="28"/>
        </w:rPr>
      </w:pPr>
      <w:r>
        <w:rPr>
          <w:rFonts w:ascii="黑体" w:eastAsia="黑体" w:hAnsi="黑体" w:hint="eastAsia"/>
          <w:sz w:val="28"/>
          <w:szCs w:val="28"/>
        </w:rPr>
        <w:t>规则一</w:t>
      </w:r>
      <w:r>
        <w:rPr>
          <w:rFonts w:ascii="黑体" w:eastAsia="黑体" w:hAnsi="黑体" w:hint="eastAsia"/>
          <w:sz w:val="28"/>
          <w:szCs w:val="28"/>
        </w:rPr>
        <w:t xml:space="preserve"> </w:t>
      </w:r>
    </w:p>
    <w:p w:rsidR="000256CD" w:rsidRDefault="004A4EF0">
      <w:pPr>
        <w:pStyle w:val="a7"/>
        <w:ind w:left="420" w:firstLineChars="0" w:firstLine="0"/>
        <w:rPr>
          <w:rFonts w:ascii="黑体" w:eastAsia="黑体" w:hAnsi="黑体"/>
          <w:sz w:val="28"/>
          <w:szCs w:val="28"/>
        </w:rPr>
      </w:pPr>
      <w:r>
        <w:rPr>
          <w:rFonts w:ascii="黑体" w:eastAsia="黑体" w:hAnsi="黑体" w:hint="eastAsia"/>
          <w:sz w:val="28"/>
          <w:szCs w:val="28"/>
        </w:rPr>
        <w:t>预先定量包装的食用农产品不宜适用预包装食品标签规则</w:t>
      </w: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b/>
          <w:color w:val="000000"/>
          <w:kern w:val="0"/>
          <w:sz w:val="28"/>
          <w:szCs w:val="21"/>
        </w:rPr>
        <w:t>规则解读</w:t>
      </w:r>
    </w:p>
    <w:p w:rsidR="000256CD" w:rsidRDefault="004A4EF0">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厘清预包装食品和食用农产品的区别，不能简单以产品是否经过预先称重并包装作为判断标准，而应从两方面入手：一是要分析产品的内容物属性，从食用农产品的定性出发，判断是否同时符合在农业活动中直接获得的及加工未改变其基本自然性状和化学性质两个条件；二是要看产品包装是否符合食用农产品销售的需要，根据《农产品质量安全法》、《农产品包装和标识管理办法》、《食用农产品市场销售质量安全监督管理办法》的相关规定，食用农产品在销售中也存在包装工序，对其进行称重销售及包装符合便捷网络销售的需要。</w:t>
      </w: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hint="eastAsia"/>
          <w:b/>
          <w:color w:val="000000"/>
          <w:kern w:val="0"/>
          <w:sz w:val="28"/>
          <w:szCs w:val="21"/>
        </w:rPr>
        <w:t>基本案情</w:t>
      </w:r>
    </w:p>
    <w:p w:rsidR="000256CD" w:rsidRDefault="004A4EF0">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原告通过网络购物平台从被告</w:t>
      </w:r>
      <w:r>
        <w:rPr>
          <w:rFonts w:ascii="仿宋_GB2312" w:eastAsia="仿宋_GB2312" w:hAnsi="宋体" w:cs="宋体" w:hint="eastAsia"/>
          <w:color w:val="000000"/>
          <w:kern w:val="0"/>
          <w:sz w:val="28"/>
          <w:szCs w:val="28"/>
        </w:rPr>
        <w:t>处购买“澳洲野生刺参海参辽参纯淡干货”</w:t>
      </w:r>
      <w:r>
        <w:rPr>
          <w:rFonts w:ascii="仿宋_GB2312" w:eastAsia="仿宋_GB2312" w:hAnsi="宋体" w:cs="宋体" w:hint="eastAsia"/>
          <w:color w:val="000000"/>
          <w:kern w:val="0"/>
          <w:sz w:val="28"/>
          <w:szCs w:val="28"/>
        </w:rPr>
        <w:t>10</w:t>
      </w:r>
      <w:r>
        <w:rPr>
          <w:rFonts w:ascii="仿宋_GB2312" w:eastAsia="仿宋_GB2312" w:hAnsi="宋体" w:cs="宋体" w:hint="eastAsia"/>
          <w:color w:val="000000"/>
          <w:kern w:val="0"/>
          <w:sz w:val="28"/>
          <w:szCs w:val="28"/>
        </w:rPr>
        <w:t>件，收到货后原告发现商品采用盒装，外包装上正面印刷名称为“精品</w:t>
      </w: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海参”，并用贴标形式载明“净重：</w:t>
      </w:r>
      <w:r>
        <w:rPr>
          <w:rFonts w:ascii="仿宋_GB2312" w:eastAsia="仿宋_GB2312" w:hAnsi="宋体" w:cs="宋体" w:hint="eastAsia"/>
          <w:color w:val="000000"/>
          <w:kern w:val="0"/>
          <w:sz w:val="28"/>
          <w:szCs w:val="28"/>
        </w:rPr>
        <w:t>500g</w:t>
      </w:r>
      <w:r>
        <w:rPr>
          <w:rFonts w:ascii="仿宋_GB2312" w:eastAsia="仿宋_GB2312" w:hAnsi="宋体" w:cs="宋体" w:hint="eastAsia"/>
          <w:color w:val="000000"/>
          <w:kern w:val="0"/>
          <w:sz w:val="28"/>
          <w:szCs w:val="28"/>
        </w:rPr>
        <w:t>”和被告公司名称，但无产品标准代号及生产许可证编号，认为不符合《预包</w:t>
      </w:r>
      <w:r>
        <w:rPr>
          <w:rFonts w:ascii="仿宋_GB2312" w:eastAsia="仿宋_GB2312" w:hAnsi="宋体" w:cs="宋体" w:hint="eastAsia"/>
          <w:color w:val="000000"/>
          <w:kern w:val="0"/>
          <w:sz w:val="28"/>
          <w:szCs w:val="28"/>
        </w:rPr>
        <w:lastRenderedPageBreak/>
        <w:t>装食品标签通则》的规定，属于不符合食品安全标准的食品，故主张被告退货退款并承担十倍赔偿责任。被告则认为，所售产品无质量问题，涉案商品属于初级农产品，应当适用食用农产品相关规定。法院经审理后认为，不能简单以产品是否经过预先称重并包装作为判断商品属性的标准，而应从商品内容物客观属性、产品包装是否符合销</w:t>
      </w:r>
      <w:r>
        <w:rPr>
          <w:rFonts w:ascii="仿宋_GB2312" w:eastAsia="仿宋_GB2312" w:hAnsi="宋体" w:cs="宋体" w:hint="eastAsia"/>
          <w:color w:val="000000"/>
          <w:kern w:val="0"/>
          <w:sz w:val="28"/>
          <w:szCs w:val="28"/>
        </w:rPr>
        <w:t>售需要等方面综合判断。本案中，从商品属性的角度出发，以是否源于农业和加工程序是否改变其基本自然性状和化学性质两方面作为衡量标准，认定涉案产品属于有包装的食用农产品，而非预包装食品，因此不应适用预包装食品的标签标识规则，且符合法律对于食用农产品的包装要求，在综合考量是否存在质量问题及是否造成人身损害等因素的基础上，最终驳回原告全部诉讼请求。</w:t>
      </w:r>
    </w:p>
    <w:p w:rsidR="000256CD" w:rsidRDefault="000256CD">
      <w:pPr>
        <w:ind w:firstLineChars="200" w:firstLine="560"/>
        <w:rPr>
          <w:rFonts w:ascii="仿宋_GB2312" w:eastAsia="仿宋_GB2312" w:hAnsi="宋体" w:cs="宋体" w:hint="eastAsia"/>
          <w:color w:val="000000"/>
          <w:kern w:val="0"/>
          <w:sz w:val="28"/>
          <w:szCs w:val="28"/>
        </w:rPr>
      </w:pPr>
    </w:p>
    <w:p w:rsidR="00D37382" w:rsidRDefault="00D37382">
      <w:pPr>
        <w:ind w:firstLineChars="200" w:firstLine="560"/>
        <w:rPr>
          <w:rFonts w:ascii="仿宋_GB2312" w:eastAsia="仿宋_GB2312" w:hAnsi="宋体" w:cs="宋体"/>
          <w:color w:val="000000"/>
          <w:kern w:val="0"/>
          <w:sz w:val="28"/>
          <w:szCs w:val="28"/>
        </w:rPr>
      </w:pPr>
    </w:p>
    <w:p w:rsidR="000256CD" w:rsidRDefault="004A4EF0">
      <w:pPr>
        <w:pStyle w:val="a7"/>
        <w:numPr>
          <w:ilvl w:val="0"/>
          <w:numId w:val="1"/>
        </w:numPr>
        <w:ind w:firstLineChars="0"/>
        <w:rPr>
          <w:rFonts w:ascii="黑体" w:eastAsia="黑体" w:hAnsi="黑体"/>
          <w:sz w:val="28"/>
          <w:szCs w:val="28"/>
        </w:rPr>
      </w:pPr>
      <w:r>
        <w:rPr>
          <w:rFonts w:ascii="黑体" w:eastAsia="黑体" w:hAnsi="黑体" w:hint="eastAsia"/>
          <w:sz w:val="28"/>
          <w:szCs w:val="28"/>
        </w:rPr>
        <w:t>规则二</w:t>
      </w:r>
      <w:r>
        <w:rPr>
          <w:rFonts w:ascii="黑体" w:eastAsia="黑体" w:hAnsi="黑体" w:hint="eastAsia"/>
          <w:sz w:val="28"/>
          <w:szCs w:val="28"/>
        </w:rPr>
        <w:t xml:space="preserve"> </w:t>
      </w:r>
    </w:p>
    <w:p w:rsidR="000256CD" w:rsidRDefault="004A4EF0">
      <w:pPr>
        <w:pStyle w:val="a7"/>
        <w:ind w:left="420" w:firstLineChars="0" w:firstLine="0"/>
        <w:rPr>
          <w:rFonts w:ascii="黑体" w:eastAsia="黑体" w:hAnsi="黑体"/>
          <w:sz w:val="28"/>
          <w:szCs w:val="28"/>
        </w:rPr>
      </w:pPr>
      <w:r>
        <w:rPr>
          <w:rFonts w:ascii="黑体" w:eastAsia="黑体" w:hAnsi="黑体" w:hint="eastAsia"/>
          <w:sz w:val="28"/>
          <w:szCs w:val="28"/>
        </w:rPr>
        <w:t>因疫情原因解除合同的，应给予合理的履行期限</w:t>
      </w: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b/>
          <w:color w:val="000000"/>
          <w:kern w:val="0"/>
          <w:sz w:val="28"/>
          <w:szCs w:val="21"/>
        </w:rPr>
        <w:t>规则解读</w:t>
      </w:r>
    </w:p>
    <w:p w:rsidR="000256CD" w:rsidRDefault="004A4EF0">
      <w:pPr>
        <w:widowControl/>
        <w:spacing w:before="100" w:beforeAutospacing="1" w:after="100" w:afterAutospacing="1"/>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新冠肺炎疫情期间，航空公司因疫情因素取消航班，属于不可抗力，并非当事人主观恶意违约所致，因此对于不可抗</w:t>
      </w:r>
      <w:r>
        <w:rPr>
          <w:rFonts w:ascii="仿宋_GB2312" w:eastAsia="仿宋_GB2312" w:hAnsi="宋体" w:cs="宋体" w:hint="eastAsia"/>
          <w:color w:val="000000"/>
          <w:kern w:val="0"/>
          <w:sz w:val="28"/>
          <w:szCs w:val="28"/>
        </w:rPr>
        <w:t>力导致的合同解除，应当结合疫情情况、具体政策给予双方合理的退款期限，以平等保护各方权益。</w:t>
      </w:r>
    </w:p>
    <w:p w:rsidR="003A08F8" w:rsidRDefault="003A08F8">
      <w:pPr>
        <w:widowControl/>
        <w:spacing w:before="100" w:beforeAutospacing="1" w:after="100" w:afterAutospacing="1"/>
        <w:jc w:val="center"/>
        <w:rPr>
          <w:rFonts w:ascii="仿宋_GB2312" w:eastAsia="仿宋_GB2312" w:hAnsi="宋体" w:cs="宋体" w:hint="eastAsia"/>
          <w:b/>
          <w:color w:val="000000"/>
          <w:kern w:val="0"/>
          <w:sz w:val="28"/>
          <w:szCs w:val="21"/>
        </w:rPr>
      </w:pP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hint="eastAsia"/>
          <w:b/>
          <w:color w:val="000000"/>
          <w:kern w:val="0"/>
          <w:sz w:val="28"/>
          <w:szCs w:val="21"/>
        </w:rPr>
        <w:lastRenderedPageBreak/>
        <w:t>基本案情</w:t>
      </w:r>
    </w:p>
    <w:p w:rsidR="000256CD" w:rsidRDefault="004A4EF0">
      <w:pPr>
        <w:widowControl/>
        <w:spacing w:before="100" w:beforeAutospacing="1" w:after="100" w:afterAutospacing="1"/>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2020</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30</w:t>
      </w:r>
      <w:r>
        <w:rPr>
          <w:rFonts w:ascii="仿宋_GB2312" w:eastAsia="仿宋_GB2312" w:hAnsi="宋体" w:cs="宋体" w:hint="eastAsia"/>
          <w:color w:val="000000"/>
          <w:kern w:val="0"/>
          <w:sz w:val="28"/>
          <w:szCs w:val="28"/>
        </w:rPr>
        <w:t>日，原告通过被告预订某国外航司航班，向被告支付价款</w:t>
      </w:r>
      <w:r>
        <w:rPr>
          <w:rFonts w:ascii="仿宋_GB2312" w:eastAsia="仿宋_GB2312" w:hAnsi="宋体" w:cs="宋体" w:hint="eastAsia"/>
          <w:color w:val="000000"/>
          <w:kern w:val="0"/>
          <w:sz w:val="28"/>
          <w:szCs w:val="28"/>
        </w:rPr>
        <w:t>10,262</w:t>
      </w:r>
      <w:r>
        <w:rPr>
          <w:rFonts w:ascii="仿宋_GB2312" w:eastAsia="仿宋_GB2312" w:hAnsi="宋体" w:cs="宋体" w:hint="eastAsia"/>
          <w:color w:val="000000"/>
          <w:kern w:val="0"/>
          <w:sz w:val="28"/>
          <w:szCs w:val="28"/>
        </w:rPr>
        <w:t>元（含保险费</w:t>
      </w:r>
      <w:r>
        <w:rPr>
          <w:rFonts w:ascii="仿宋_GB2312" w:eastAsia="仿宋_GB2312" w:hAnsi="宋体" w:cs="宋体" w:hint="eastAsia"/>
          <w:color w:val="000000"/>
          <w:kern w:val="0"/>
          <w:sz w:val="28"/>
          <w:szCs w:val="28"/>
        </w:rPr>
        <w:t>120</w:t>
      </w:r>
      <w:r>
        <w:rPr>
          <w:rFonts w:ascii="仿宋_GB2312" w:eastAsia="仿宋_GB2312" w:hAnsi="宋体" w:cs="宋体" w:hint="eastAsia"/>
          <w:color w:val="000000"/>
          <w:kern w:val="0"/>
          <w:sz w:val="28"/>
          <w:szCs w:val="28"/>
        </w:rPr>
        <w:t>元）。当日，原告收到航班取消的短信，按通知的退改路径操作申请退票成功，并收到退票成功的短信，显示款项预计</w:t>
      </w:r>
      <w:r>
        <w:rPr>
          <w:rFonts w:ascii="仿宋_GB2312" w:eastAsia="仿宋_GB2312" w:hAnsi="宋体" w:cs="宋体" w:hint="eastAsia"/>
          <w:color w:val="000000"/>
          <w:kern w:val="0"/>
          <w:sz w:val="28"/>
          <w:szCs w:val="28"/>
        </w:rPr>
        <w:t>2020</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4</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19</w:t>
      </w:r>
      <w:r>
        <w:rPr>
          <w:rFonts w:ascii="仿宋_GB2312" w:eastAsia="仿宋_GB2312" w:hAnsi="宋体" w:cs="宋体" w:hint="eastAsia"/>
          <w:color w:val="000000"/>
          <w:kern w:val="0"/>
          <w:sz w:val="28"/>
          <w:szCs w:val="28"/>
        </w:rPr>
        <w:t>日到账。后被告联系原告因航空公司原因，无法在预计时间内退款。被告在</w:t>
      </w:r>
      <w:r>
        <w:rPr>
          <w:rFonts w:ascii="仿宋_GB2312" w:eastAsia="仿宋_GB2312" w:hAnsi="宋体" w:cs="宋体" w:hint="eastAsia"/>
          <w:color w:val="000000"/>
          <w:kern w:val="0"/>
          <w:sz w:val="28"/>
          <w:szCs w:val="28"/>
        </w:rPr>
        <w:t>2020</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18</w:t>
      </w:r>
      <w:r>
        <w:rPr>
          <w:rFonts w:ascii="仿宋_GB2312" w:eastAsia="仿宋_GB2312" w:hAnsi="宋体" w:cs="宋体" w:hint="eastAsia"/>
          <w:color w:val="000000"/>
          <w:kern w:val="0"/>
          <w:sz w:val="28"/>
          <w:szCs w:val="28"/>
        </w:rPr>
        <w:t>日收到航空公司退款后，于</w:t>
      </w:r>
      <w:r>
        <w:rPr>
          <w:rFonts w:ascii="仿宋_GB2312" w:eastAsia="仿宋_GB2312" w:hAnsi="宋体" w:cs="宋体" w:hint="eastAsia"/>
          <w:color w:val="000000"/>
          <w:kern w:val="0"/>
          <w:sz w:val="28"/>
          <w:szCs w:val="28"/>
        </w:rPr>
        <w:t>2020</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23</w:t>
      </w:r>
      <w:r>
        <w:rPr>
          <w:rFonts w:ascii="仿宋_GB2312" w:eastAsia="仿宋_GB2312" w:hAnsi="宋体" w:cs="宋体" w:hint="eastAsia"/>
          <w:color w:val="000000"/>
          <w:kern w:val="0"/>
          <w:sz w:val="28"/>
          <w:szCs w:val="28"/>
        </w:rPr>
        <w:t>日将款项退还原告，但原告认为被告未按承诺期限退款，故诉请要求被告承</w:t>
      </w:r>
      <w:r>
        <w:rPr>
          <w:rFonts w:ascii="仿宋_GB2312" w:eastAsia="仿宋_GB2312" w:hAnsi="宋体" w:cs="宋体" w:hint="eastAsia"/>
          <w:color w:val="000000"/>
          <w:kern w:val="0"/>
          <w:sz w:val="28"/>
          <w:szCs w:val="28"/>
        </w:rPr>
        <w:t>担延迟退款产生的利息损失。法院经审理认为，根据法律规定，合同解除后，已经履行的，根据履行情况和合同性质，当事人可以要求恢复原状、采取其他补救措施，并有权要求赔偿损失。本案中，航空公司因疫情因素取消航班，属于不可抗力，并非当事人主观恶意违约所致，因此对于不可抗力导致的合同解除，应当结合疫情情况、具体政策给予双方合理的退款期限，以平等保护各方权益。本案被告在退还系争款项过程中已经就无法按期退款的事项提前告知原告，并无过错，且款项的退还时间尚属合理，因此，驳回原告要求被告承担利息损失的主张。</w:t>
      </w:r>
    </w:p>
    <w:p w:rsidR="00D37382" w:rsidRDefault="00D37382">
      <w:pPr>
        <w:widowControl/>
        <w:jc w:val="left"/>
        <w:rPr>
          <w:rFonts w:hint="eastAsia"/>
        </w:rPr>
      </w:pPr>
    </w:p>
    <w:p w:rsidR="000256CD" w:rsidRDefault="004A4EF0">
      <w:pPr>
        <w:pStyle w:val="a7"/>
        <w:numPr>
          <w:ilvl w:val="0"/>
          <w:numId w:val="1"/>
        </w:numPr>
        <w:ind w:firstLineChars="0"/>
        <w:rPr>
          <w:rFonts w:ascii="黑体" w:eastAsia="黑体" w:hAnsi="黑体"/>
          <w:sz w:val="28"/>
          <w:szCs w:val="28"/>
        </w:rPr>
      </w:pPr>
      <w:r>
        <w:rPr>
          <w:rFonts w:ascii="黑体" w:eastAsia="黑体" w:hAnsi="黑体" w:hint="eastAsia"/>
          <w:sz w:val="28"/>
          <w:szCs w:val="28"/>
        </w:rPr>
        <w:t>规则三</w:t>
      </w:r>
      <w:r>
        <w:rPr>
          <w:rFonts w:ascii="黑体" w:eastAsia="黑体" w:hAnsi="黑体" w:hint="eastAsia"/>
          <w:sz w:val="28"/>
          <w:szCs w:val="28"/>
        </w:rPr>
        <w:t xml:space="preserve">  </w:t>
      </w:r>
    </w:p>
    <w:p w:rsidR="000256CD" w:rsidRDefault="004A4EF0">
      <w:pPr>
        <w:pStyle w:val="a7"/>
        <w:ind w:left="420" w:firstLineChars="0" w:firstLine="0"/>
        <w:rPr>
          <w:rFonts w:ascii="黑体" w:eastAsia="黑体" w:hAnsi="黑体"/>
          <w:sz w:val="28"/>
          <w:szCs w:val="28"/>
        </w:rPr>
      </w:pPr>
      <w:r>
        <w:rPr>
          <w:rFonts w:ascii="黑体" w:eastAsia="黑体" w:hAnsi="黑体" w:hint="eastAsia"/>
          <w:sz w:val="28"/>
          <w:szCs w:val="28"/>
        </w:rPr>
        <w:t>营利</w:t>
      </w:r>
      <w:r>
        <w:rPr>
          <w:rFonts w:ascii="黑体" w:eastAsia="黑体" w:hAnsi="黑体" w:hint="eastAsia"/>
          <w:sz w:val="28"/>
          <w:szCs w:val="28"/>
        </w:rPr>
        <w:t>性专业自媒体应对其报道内容尽到合理核实及注意义务</w:t>
      </w: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b/>
          <w:color w:val="000000"/>
          <w:kern w:val="0"/>
          <w:sz w:val="28"/>
          <w:szCs w:val="21"/>
        </w:rPr>
        <w:t>规则解读</w:t>
      </w:r>
    </w:p>
    <w:p w:rsidR="000256CD" w:rsidRDefault="004A4EF0">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自媒体为公共利益实施舆论监督行为，在所发表文章或评论中，</w:t>
      </w:r>
      <w:r>
        <w:rPr>
          <w:rFonts w:ascii="仿宋_GB2312" w:eastAsia="仿宋_GB2312" w:hAnsi="宋体" w:cs="宋体" w:hint="eastAsia"/>
          <w:color w:val="000000"/>
          <w:kern w:val="0"/>
          <w:sz w:val="28"/>
          <w:szCs w:val="28"/>
        </w:rPr>
        <w:lastRenderedPageBreak/>
        <w:t>对转引他人提供的内容时应尽到合理审核义务以及与其自身定位、规模、影响力范围、文章所涉事项对相关方权益的重要性等相适应的注意义务，核实范围应包括内容来源真实性、客观性，自媒体性质、核实内容来源的能力及成本、受害人名誉受损的可能性等等。</w:t>
      </w:r>
    </w:p>
    <w:p w:rsidR="000256CD" w:rsidRDefault="000256CD">
      <w:pPr>
        <w:widowControl/>
        <w:spacing w:before="100" w:beforeAutospacing="1" w:after="100" w:afterAutospacing="1"/>
        <w:jc w:val="center"/>
        <w:rPr>
          <w:rFonts w:ascii="仿宋_GB2312" w:eastAsia="仿宋_GB2312" w:hAnsi="宋体" w:cs="宋体"/>
          <w:b/>
          <w:color w:val="000000"/>
          <w:kern w:val="0"/>
          <w:sz w:val="28"/>
          <w:szCs w:val="21"/>
        </w:rPr>
      </w:pP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hint="eastAsia"/>
          <w:b/>
          <w:color w:val="000000"/>
          <w:kern w:val="0"/>
          <w:sz w:val="28"/>
          <w:szCs w:val="21"/>
        </w:rPr>
        <w:t>基本案情</w:t>
      </w:r>
    </w:p>
    <w:p w:rsidR="000256CD" w:rsidRDefault="004A4EF0">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原告系某知名电子商务平台经营者。被告系某自媒体运营主体。</w:t>
      </w:r>
      <w:r>
        <w:rPr>
          <w:rFonts w:ascii="仿宋_GB2312" w:eastAsia="仿宋_GB2312" w:hAnsi="宋体" w:cs="宋体" w:hint="eastAsia"/>
          <w:color w:val="000000"/>
          <w:kern w:val="0"/>
          <w:sz w:val="28"/>
          <w:szCs w:val="28"/>
        </w:rPr>
        <w:t>2019</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26</w:t>
      </w:r>
      <w:r>
        <w:rPr>
          <w:rFonts w:ascii="仿宋_GB2312" w:eastAsia="仿宋_GB2312" w:hAnsi="宋体" w:cs="宋体" w:hint="eastAsia"/>
          <w:color w:val="000000"/>
          <w:kern w:val="0"/>
          <w:sz w:val="28"/>
          <w:szCs w:val="28"/>
        </w:rPr>
        <w:t>日，被告分别在微信公众号、天天快报、今日头条及新浪微博等平台发布文章《</w:t>
      </w:r>
      <w:r>
        <w:rPr>
          <w:rFonts w:ascii="仿宋_GB2312" w:eastAsia="仿宋_GB2312" w:hAnsi="宋体" w:cs="宋体" w:hint="eastAsia"/>
          <w:color w:val="000000"/>
          <w:kern w:val="0"/>
          <w:sz w:val="28"/>
          <w:szCs w:val="28"/>
        </w:rPr>
        <w:t>XX</w:t>
      </w:r>
      <w:r>
        <w:rPr>
          <w:rFonts w:ascii="仿宋_GB2312" w:eastAsia="仿宋_GB2312" w:hAnsi="宋体" w:cs="宋体" w:hint="eastAsia"/>
          <w:color w:val="000000"/>
          <w:kern w:val="0"/>
          <w:sz w:val="28"/>
          <w:szCs w:val="28"/>
        </w:rPr>
        <w:t>平台店铺沦为博彩网站洗钱平台，单店日洗钱</w:t>
      </w:r>
      <w:r>
        <w:rPr>
          <w:rFonts w:ascii="仿宋_GB2312" w:eastAsia="仿宋_GB2312" w:hAnsi="宋体" w:cs="宋体" w:hint="eastAsia"/>
          <w:color w:val="000000"/>
          <w:kern w:val="0"/>
          <w:sz w:val="28"/>
          <w:szCs w:val="28"/>
        </w:rPr>
        <w:t>50</w:t>
      </w:r>
      <w:r>
        <w:rPr>
          <w:rFonts w:ascii="仿宋_GB2312" w:eastAsia="仿宋_GB2312" w:hAnsi="宋体" w:cs="宋体" w:hint="eastAsia"/>
          <w:color w:val="000000"/>
          <w:kern w:val="0"/>
          <w:sz w:val="28"/>
          <w:szCs w:val="28"/>
        </w:rPr>
        <w:t>万！》，其中引言部分转引案外人陈述“预估洗钱业务在</w:t>
      </w:r>
      <w:r>
        <w:rPr>
          <w:rFonts w:ascii="仿宋_GB2312" w:eastAsia="仿宋_GB2312" w:hAnsi="宋体" w:cs="宋体" w:hint="eastAsia"/>
          <w:color w:val="000000"/>
          <w:kern w:val="0"/>
          <w:sz w:val="28"/>
          <w:szCs w:val="28"/>
        </w:rPr>
        <w:t>XX</w:t>
      </w:r>
      <w:r>
        <w:rPr>
          <w:rFonts w:ascii="仿宋_GB2312" w:eastAsia="仿宋_GB2312" w:hAnsi="宋体" w:cs="宋体" w:hint="eastAsia"/>
          <w:color w:val="000000"/>
          <w:kern w:val="0"/>
          <w:sz w:val="28"/>
          <w:szCs w:val="28"/>
        </w:rPr>
        <w:t>平台的日成交额达</w:t>
      </w:r>
      <w:r>
        <w:rPr>
          <w:rFonts w:ascii="仿宋_GB2312" w:eastAsia="仿宋_GB2312" w:hAnsi="宋体" w:cs="宋体" w:hint="eastAsia"/>
          <w:color w:val="000000"/>
          <w:kern w:val="0"/>
          <w:sz w:val="28"/>
          <w:szCs w:val="28"/>
        </w:rPr>
        <w:t>5</w:t>
      </w:r>
      <w:r>
        <w:rPr>
          <w:rFonts w:ascii="仿宋_GB2312" w:eastAsia="仿宋_GB2312" w:hAnsi="宋体" w:cs="宋体" w:hint="eastAsia"/>
          <w:color w:val="000000"/>
          <w:kern w:val="0"/>
          <w:sz w:val="28"/>
          <w:szCs w:val="28"/>
        </w:rPr>
        <w:t>亿元”。</w:t>
      </w:r>
      <w:r>
        <w:rPr>
          <w:rFonts w:ascii="仿宋_GB2312" w:eastAsia="仿宋_GB2312" w:hAnsi="黑体" w:hint="eastAsia"/>
          <w:sz w:val="28"/>
          <w:szCs w:val="28"/>
        </w:rPr>
        <w:t>原告认为该文章侵害其名誉权，遂诉至法院。</w:t>
      </w:r>
    </w:p>
    <w:p w:rsidR="000256CD" w:rsidRDefault="004A4EF0">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法院经审理认为，法人享有名誉权，禁止用侮辱、诽谤等方式损害法人的名誉。被告作为专业自媒体，应对其利用互联网平台所发布的文章的受众范围、社会关注度及影响力具有清楚的认知，亦应对其文章中涉及的内容的表述、评价尽到合理的注意义务。被告在未尽审慎核实义务、未能举证系争表述的客观性和公正性</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且在未对留言人的身份、信息来源等加以核实、亦未对该转引内容真实性存疑予以明确提示的情况下直接援引该表述，并将其作为文章主要结论加以论述，足以引起社会公众对原告的负面评价，造成原告社会评价明显降低，故被告的行为构成对原告名誉权的侵害</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 xml:space="preserve"> </w:t>
      </w:r>
    </w:p>
    <w:p w:rsidR="000256CD" w:rsidRDefault="004A4EF0">
      <w:pPr>
        <w:pStyle w:val="a7"/>
        <w:numPr>
          <w:ilvl w:val="0"/>
          <w:numId w:val="1"/>
        </w:numPr>
        <w:ind w:firstLineChars="0"/>
        <w:rPr>
          <w:rFonts w:ascii="黑体" w:eastAsia="黑体" w:hAnsi="黑体"/>
          <w:sz w:val="28"/>
          <w:szCs w:val="28"/>
        </w:rPr>
      </w:pPr>
      <w:r>
        <w:rPr>
          <w:rFonts w:ascii="黑体" w:eastAsia="黑体" w:hAnsi="黑体" w:hint="eastAsia"/>
          <w:sz w:val="28"/>
          <w:szCs w:val="28"/>
        </w:rPr>
        <w:lastRenderedPageBreak/>
        <w:t>规则四</w:t>
      </w:r>
    </w:p>
    <w:p w:rsidR="000256CD" w:rsidRDefault="004A4EF0">
      <w:pPr>
        <w:ind w:firstLineChars="100" w:firstLine="280"/>
        <w:jc w:val="left"/>
        <w:rPr>
          <w:rFonts w:ascii="黑体" w:eastAsia="黑体" w:hAnsi="黑体"/>
          <w:sz w:val="28"/>
          <w:szCs w:val="28"/>
        </w:rPr>
      </w:pPr>
      <w:r>
        <w:rPr>
          <w:rFonts w:ascii="黑体" w:eastAsia="黑体" w:hAnsi="黑体" w:hint="eastAsia"/>
          <w:sz w:val="28"/>
          <w:szCs w:val="28"/>
        </w:rPr>
        <w:t>互联网终端软件经营者强制捆绑安装软件造成损害构成对消费者</w:t>
      </w:r>
    </w:p>
    <w:p w:rsidR="000256CD" w:rsidRDefault="004A4EF0">
      <w:pPr>
        <w:ind w:firstLineChars="100" w:firstLine="280"/>
        <w:jc w:val="left"/>
        <w:rPr>
          <w:rFonts w:ascii="黑体" w:eastAsia="黑体" w:hAnsi="黑体"/>
          <w:sz w:val="28"/>
          <w:szCs w:val="28"/>
        </w:rPr>
      </w:pPr>
      <w:r>
        <w:rPr>
          <w:rFonts w:ascii="黑体" w:eastAsia="黑体" w:hAnsi="黑体" w:hint="eastAsia"/>
          <w:sz w:val="28"/>
          <w:szCs w:val="28"/>
        </w:rPr>
        <w:t>知情权和自主选择权的侵害</w:t>
      </w: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b/>
          <w:color w:val="000000"/>
          <w:kern w:val="0"/>
          <w:sz w:val="28"/>
          <w:szCs w:val="21"/>
        </w:rPr>
        <w:t>规则解读</w:t>
      </w:r>
    </w:p>
    <w:p w:rsidR="000256CD" w:rsidRDefault="004A4EF0">
      <w:pPr>
        <w:widowControl/>
        <w:spacing w:line="540" w:lineRule="exact"/>
        <w:ind w:firstLineChars="200" w:firstLine="560"/>
        <w:rPr>
          <w:rFonts w:ascii="仿宋_GB2312" w:eastAsia="仿宋_GB2312" w:hAnsi="宋体" w:cs="宋体"/>
          <w:color w:val="000000"/>
          <w:kern w:val="0"/>
          <w:sz w:val="28"/>
          <w:szCs w:val="21"/>
        </w:rPr>
      </w:pPr>
      <w:r>
        <w:rPr>
          <w:rFonts w:ascii="仿宋_GB2312" w:eastAsia="仿宋_GB2312" w:hAnsi="宋体" w:cs="宋体" w:hint="eastAsia"/>
          <w:color w:val="000000"/>
          <w:kern w:val="0"/>
          <w:sz w:val="28"/>
          <w:szCs w:val="21"/>
        </w:rPr>
        <w:t>判断互联网终端软件是否构成捆绑安装，应当从客观形式和实质功能两个方面进行考量。具体而言，在客观形式方面，主要审查捆绑软件对应功能是否存在独立软件产品、是否可以独立下载安装及卸载等。实质功能方面，主要审查“内置功能”的核心功能是否与主软件功能紧密相关，是否系实现主软件功能所必需。经营者提供软件捆绑下载服务时，如未尽到显著的提示和告知义务，未赋予消费者选择下载的权利和独立卸载的功能，则构成对消费者知</w:t>
      </w:r>
      <w:r>
        <w:rPr>
          <w:rFonts w:ascii="仿宋_GB2312" w:eastAsia="仿宋_GB2312" w:hAnsi="宋体" w:cs="宋体" w:hint="eastAsia"/>
          <w:color w:val="000000"/>
          <w:kern w:val="0"/>
          <w:sz w:val="28"/>
          <w:szCs w:val="21"/>
        </w:rPr>
        <w:t>情权及自主选择权的侵害。</w:t>
      </w: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hint="eastAsia"/>
          <w:b/>
          <w:color w:val="000000"/>
          <w:kern w:val="0"/>
          <w:sz w:val="28"/>
          <w:szCs w:val="21"/>
        </w:rPr>
        <w:t>基本案情</w:t>
      </w:r>
    </w:p>
    <w:p w:rsidR="000256CD" w:rsidRDefault="004A4EF0">
      <w:pPr>
        <w:widowControl/>
        <w:spacing w:before="100" w:beforeAutospacing="1" w:after="100" w:afterAutospacing="1"/>
        <w:ind w:firstLineChars="200" w:firstLine="560"/>
        <w:jc w:val="left"/>
        <w:rPr>
          <w:rFonts w:ascii="仿宋_GB2312" w:eastAsia="仿宋_GB2312" w:hAnsi="宋体" w:cs="宋体"/>
          <w:color w:val="000000"/>
          <w:kern w:val="0"/>
          <w:sz w:val="28"/>
          <w:szCs w:val="21"/>
        </w:rPr>
      </w:pPr>
      <w:r>
        <w:rPr>
          <w:rFonts w:ascii="仿宋_GB2312" w:eastAsia="仿宋_GB2312" w:hAnsi="宋体" w:cs="宋体" w:hint="eastAsia"/>
          <w:color w:val="000000"/>
          <w:kern w:val="0"/>
          <w:sz w:val="28"/>
          <w:szCs w:val="21"/>
        </w:rPr>
        <w:t>被告系某反病毒软件产品的开发及运营主体，通过其官方网站向消费者提供相关软件产品的下载服务。</w:t>
      </w:r>
      <w:r>
        <w:rPr>
          <w:rFonts w:ascii="仿宋_GB2312" w:eastAsia="仿宋_GB2312" w:hAnsi="宋体" w:cs="宋体" w:hint="eastAsia"/>
          <w:color w:val="000000"/>
          <w:kern w:val="0"/>
          <w:sz w:val="28"/>
          <w:szCs w:val="21"/>
        </w:rPr>
        <w:t>2018</w:t>
      </w:r>
      <w:r>
        <w:rPr>
          <w:rFonts w:ascii="仿宋_GB2312" w:eastAsia="仿宋_GB2312" w:hAnsi="宋体" w:cs="宋体" w:hint="eastAsia"/>
          <w:color w:val="000000"/>
          <w:kern w:val="0"/>
          <w:sz w:val="28"/>
          <w:szCs w:val="21"/>
        </w:rPr>
        <w:t>年底左右，原告登录其官网下载涉案杀毒</w:t>
      </w:r>
      <w:r>
        <w:rPr>
          <w:rFonts w:ascii="仿宋_GB2312" w:eastAsia="仿宋_GB2312" w:hAnsi="宋体" w:cs="宋体"/>
          <w:color w:val="000000"/>
          <w:kern w:val="0"/>
          <w:sz w:val="28"/>
          <w:szCs w:val="21"/>
        </w:rPr>
        <w:t>软件</w:t>
      </w:r>
      <w:r>
        <w:rPr>
          <w:rFonts w:ascii="仿宋_GB2312" w:eastAsia="仿宋_GB2312" w:hAnsi="宋体" w:cs="宋体" w:hint="eastAsia"/>
          <w:color w:val="000000"/>
          <w:kern w:val="0"/>
          <w:sz w:val="28"/>
          <w:szCs w:val="21"/>
        </w:rPr>
        <w:t>产品。下载成功后，原告在其电脑桌面发现“软件管家”快捷方式，在“软件管家”中发现“护眼大师”软件，原告据此认为被告存在捆绑安装软件行为，遂诉至法院。</w:t>
      </w:r>
    </w:p>
    <w:p w:rsidR="000256CD" w:rsidRDefault="004A4EF0">
      <w:pPr>
        <w:pStyle w:val="a6"/>
        <w:widowControl/>
        <w:spacing w:before="0" w:beforeAutospacing="0" w:after="0" w:afterAutospacing="0" w:line="560" w:lineRule="exact"/>
        <w:ind w:firstLineChars="200" w:firstLine="560"/>
        <w:rPr>
          <w:rFonts w:ascii="仿宋_GB2312" w:eastAsia="仿宋_GB2312" w:hAnsi="宋体" w:cs="宋体"/>
          <w:color w:val="000000"/>
          <w:sz w:val="28"/>
          <w:szCs w:val="21"/>
        </w:rPr>
      </w:pPr>
      <w:r>
        <w:rPr>
          <w:rFonts w:ascii="仿宋_GB2312" w:eastAsia="仿宋_GB2312" w:hAnsi="宋体" w:cs="宋体" w:hint="eastAsia"/>
          <w:color w:val="000000"/>
          <w:sz w:val="28"/>
          <w:szCs w:val="21"/>
        </w:rPr>
        <w:t>法院经审理认为，消费者在选择下载该杀毒软件时，必须同步下载及安装“护眼模式”及“软件管家”，但无论是从外观表现，还是产品实质功能来看，“护眼模式”及“软</w:t>
      </w:r>
      <w:bookmarkStart w:id="0" w:name="_GoBack"/>
      <w:bookmarkEnd w:id="0"/>
      <w:r>
        <w:rPr>
          <w:rFonts w:ascii="仿宋_GB2312" w:eastAsia="仿宋_GB2312" w:hAnsi="宋体" w:cs="宋体" w:hint="eastAsia"/>
          <w:color w:val="000000"/>
          <w:sz w:val="28"/>
          <w:szCs w:val="21"/>
        </w:rPr>
        <w:t>件管家”均具备作为终端软</w:t>
      </w:r>
      <w:r>
        <w:rPr>
          <w:rFonts w:ascii="仿宋_GB2312" w:eastAsia="仿宋_GB2312" w:hAnsi="宋体" w:cs="宋体" w:hint="eastAsia"/>
          <w:color w:val="000000"/>
          <w:sz w:val="28"/>
          <w:szCs w:val="21"/>
        </w:rPr>
        <w:lastRenderedPageBreak/>
        <w:t>件的独立性，而非该杀毒软件必要组成部分，构成捆绑安装软件行为。被告并未向消费者提供“仅使用反病毒软件”的选项，亦未事先以合理方式告知及提示，这种情况下，</w:t>
      </w:r>
      <w:r>
        <w:rPr>
          <w:rFonts w:ascii="仿宋_GB2312" w:eastAsia="仿宋_GB2312" w:hAnsi="宋体" w:cs="宋体"/>
          <w:color w:val="000000"/>
          <w:sz w:val="28"/>
          <w:szCs w:val="21"/>
        </w:rPr>
        <w:t>消费者知情权</w:t>
      </w:r>
      <w:r>
        <w:rPr>
          <w:rFonts w:ascii="仿宋_GB2312" w:eastAsia="仿宋_GB2312" w:hAnsi="宋体" w:cs="宋体" w:hint="eastAsia"/>
          <w:color w:val="000000"/>
          <w:sz w:val="28"/>
          <w:szCs w:val="21"/>
        </w:rPr>
        <w:t>未得到合理保障</w:t>
      </w:r>
      <w:r>
        <w:rPr>
          <w:rFonts w:ascii="仿宋_GB2312" w:eastAsia="仿宋_GB2312" w:hAnsi="宋体" w:cs="宋体"/>
          <w:color w:val="000000"/>
          <w:sz w:val="28"/>
          <w:szCs w:val="21"/>
        </w:rPr>
        <w:t>，</w:t>
      </w:r>
      <w:r>
        <w:rPr>
          <w:rFonts w:ascii="仿宋_GB2312" w:eastAsia="仿宋_GB2312" w:hAnsi="宋体" w:cs="宋体" w:hint="eastAsia"/>
          <w:color w:val="000000"/>
          <w:sz w:val="28"/>
          <w:szCs w:val="21"/>
        </w:rPr>
        <w:t>也未在此基础上</w:t>
      </w:r>
      <w:r>
        <w:rPr>
          <w:rFonts w:ascii="仿宋_GB2312" w:eastAsia="仿宋_GB2312" w:hAnsi="宋体" w:cs="宋体"/>
          <w:color w:val="000000"/>
          <w:sz w:val="28"/>
          <w:szCs w:val="21"/>
        </w:rPr>
        <w:t>形成其真实意志并作出自主选择。依此逻辑，强制捆绑软件行为亦构成对消费者知情权及自主选择权之侵犯。</w:t>
      </w:r>
    </w:p>
    <w:p w:rsidR="000256CD" w:rsidRDefault="000256CD">
      <w:pPr>
        <w:pStyle w:val="a6"/>
        <w:widowControl/>
        <w:spacing w:before="0" w:beforeAutospacing="0" w:after="0" w:afterAutospacing="0" w:line="560" w:lineRule="exact"/>
        <w:ind w:firstLineChars="200" w:firstLine="560"/>
        <w:rPr>
          <w:rFonts w:ascii="仿宋_GB2312" w:eastAsia="仿宋_GB2312" w:hAnsi="宋体" w:cs="宋体"/>
          <w:color w:val="000000"/>
          <w:sz w:val="28"/>
          <w:szCs w:val="21"/>
        </w:rPr>
      </w:pPr>
    </w:p>
    <w:p w:rsidR="000256CD" w:rsidRDefault="000256CD">
      <w:pPr>
        <w:pStyle w:val="a7"/>
        <w:ind w:left="420" w:firstLineChars="0" w:firstLine="0"/>
        <w:rPr>
          <w:rFonts w:ascii="黑体" w:eastAsia="黑体" w:hAnsi="黑体"/>
          <w:sz w:val="28"/>
          <w:szCs w:val="28"/>
        </w:rPr>
      </w:pPr>
    </w:p>
    <w:p w:rsidR="000256CD" w:rsidRDefault="004A4EF0">
      <w:pPr>
        <w:pStyle w:val="a7"/>
        <w:numPr>
          <w:ilvl w:val="0"/>
          <w:numId w:val="1"/>
        </w:numPr>
        <w:ind w:firstLineChars="0"/>
        <w:rPr>
          <w:rFonts w:ascii="黑体" w:eastAsia="黑体" w:hAnsi="黑体"/>
          <w:sz w:val="28"/>
          <w:szCs w:val="28"/>
        </w:rPr>
      </w:pPr>
      <w:r>
        <w:rPr>
          <w:rFonts w:ascii="黑体" w:eastAsia="黑体" w:hAnsi="黑体" w:hint="eastAsia"/>
          <w:sz w:val="28"/>
          <w:szCs w:val="28"/>
        </w:rPr>
        <w:t>规则五</w:t>
      </w:r>
    </w:p>
    <w:p w:rsidR="000256CD" w:rsidRDefault="004A4EF0">
      <w:pPr>
        <w:pStyle w:val="a7"/>
        <w:ind w:left="420" w:firstLineChars="0" w:firstLine="0"/>
        <w:rPr>
          <w:rFonts w:ascii="黑体" w:eastAsia="黑体" w:hAnsi="黑体"/>
          <w:sz w:val="28"/>
          <w:szCs w:val="28"/>
        </w:rPr>
      </w:pPr>
      <w:r>
        <w:rPr>
          <w:rFonts w:ascii="黑体" w:eastAsia="黑体" w:hAnsi="黑体" w:hint="eastAsia"/>
          <w:sz w:val="28"/>
          <w:szCs w:val="28"/>
        </w:rPr>
        <w:t>电商平台就售后投诉记录等信息负有保存注意义务</w:t>
      </w:r>
    </w:p>
    <w:p w:rsidR="000256CD" w:rsidRDefault="000256CD">
      <w:pPr>
        <w:jc w:val="center"/>
        <w:rPr>
          <w:rFonts w:ascii="仿宋_GB2312" w:eastAsia="仿宋_GB2312" w:hAnsi="宋体" w:cs="宋体"/>
          <w:b/>
          <w:color w:val="000000"/>
          <w:kern w:val="0"/>
          <w:sz w:val="28"/>
          <w:szCs w:val="21"/>
        </w:rPr>
      </w:pPr>
    </w:p>
    <w:p w:rsidR="000256CD" w:rsidRDefault="004A4EF0">
      <w:pPr>
        <w:jc w:val="center"/>
        <w:rPr>
          <w:rFonts w:ascii="仿宋_GB2312" w:eastAsia="仿宋_GB2312" w:hAnsi="宋体" w:cs="宋体"/>
          <w:b/>
          <w:color w:val="000000"/>
          <w:kern w:val="0"/>
          <w:sz w:val="28"/>
          <w:szCs w:val="21"/>
        </w:rPr>
      </w:pPr>
      <w:r>
        <w:rPr>
          <w:rFonts w:ascii="仿宋_GB2312" w:eastAsia="仿宋_GB2312" w:hAnsi="宋体" w:cs="宋体"/>
          <w:b/>
          <w:color w:val="000000"/>
          <w:kern w:val="0"/>
          <w:sz w:val="28"/>
          <w:szCs w:val="21"/>
        </w:rPr>
        <w:t>规则解读</w:t>
      </w:r>
    </w:p>
    <w:p w:rsidR="000256CD" w:rsidRDefault="004A4EF0">
      <w:pPr>
        <w:widowControl/>
        <w:spacing w:before="100" w:beforeAutospacing="1" w:after="100" w:afterAutospacing="1"/>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判断电商平台应当记录、保存的信息，应结合电子商务交易特征并根据特定电子商务平台交易模式予以综合考量。对于主要依赖即时在线咨询、客服电话等方式对合同内容或履行中的重大问题进行协商并确认的电子商务模式，应认定在线咨询、投诉、售后反馈等信息属于电子商务平台应当记录、保存的“商品和服务信息、交易信息”范围。</w:t>
      </w:r>
    </w:p>
    <w:p w:rsidR="000256CD" w:rsidRDefault="004A4EF0">
      <w:pPr>
        <w:widowControl/>
        <w:spacing w:before="100" w:beforeAutospacing="1" w:after="100" w:afterAutospacing="1"/>
        <w:jc w:val="center"/>
        <w:rPr>
          <w:rFonts w:ascii="仿宋_GB2312" w:eastAsia="仿宋_GB2312" w:hAnsi="宋体" w:cs="宋体"/>
          <w:b/>
          <w:color w:val="000000"/>
          <w:kern w:val="0"/>
          <w:sz w:val="28"/>
          <w:szCs w:val="21"/>
        </w:rPr>
      </w:pPr>
      <w:r>
        <w:rPr>
          <w:rFonts w:ascii="仿宋_GB2312" w:eastAsia="仿宋_GB2312" w:hAnsi="宋体" w:cs="宋体" w:hint="eastAsia"/>
          <w:b/>
          <w:color w:val="000000"/>
          <w:kern w:val="0"/>
          <w:sz w:val="28"/>
          <w:szCs w:val="21"/>
        </w:rPr>
        <w:t>基本案情</w:t>
      </w:r>
    </w:p>
    <w:p w:rsidR="000256CD" w:rsidRDefault="004A4EF0">
      <w:pPr>
        <w:widowControl/>
        <w:spacing w:before="100" w:beforeAutospacing="1" w:after="100" w:afterAutospacing="1"/>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原告通过被告运营的某旅行网手机</w:t>
      </w:r>
      <w:r>
        <w:rPr>
          <w:rFonts w:ascii="仿宋_GB2312" w:eastAsia="仿宋_GB2312" w:hAnsi="宋体" w:cs="宋体" w:hint="eastAsia"/>
          <w:color w:val="000000"/>
          <w:kern w:val="0"/>
          <w:sz w:val="28"/>
          <w:szCs w:val="28"/>
        </w:rPr>
        <w:t>app</w:t>
      </w:r>
      <w:r>
        <w:rPr>
          <w:rFonts w:ascii="仿宋_GB2312" w:eastAsia="仿宋_GB2312" w:hAnsi="宋体" w:cs="宋体" w:hint="eastAsia"/>
          <w:color w:val="000000"/>
          <w:kern w:val="0"/>
          <w:sz w:val="28"/>
          <w:szCs w:val="28"/>
        </w:rPr>
        <w:t>应用软件预订泰国旅游产品。同日原告收到被告发送的短信通知，载明涉案行程中文客服热线。</w:t>
      </w:r>
      <w:r>
        <w:rPr>
          <w:rFonts w:ascii="仿宋_GB2312" w:eastAsia="仿宋_GB2312" w:hAnsi="宋体" w:cs="宋体" w:hint="eastAsia"/>
          <w:color w:val="000000"/>
          <w:kern w:val="0"/>
          <w:sz w:val="28"/>
          <w:szCs w:val="28"/>
        </w:rPr>
        <w:t>2017</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2</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12</w:t>
      </w:r>
      <w:r>
        <w:rPr>
          <w:rFonts w:ascii="仿宋_GB2312" w:eastAsia="仿宋_GB2312" w:hAnsi="宋体" w:cs="宋体" w:hint="eastAsia"/>
          <w:color w:val="000000"/>
          <w:kern w:val="0"/>
          <w:sz w:val="28"/>
          <w:szCs w:val="28"/>
        </w:rPr>
        <w:t>日，原告乘坐被告安排的快艇出海，后因天气原</w:t>
      </w:r>
      <w:r>
        <w:rPr>
          <w:rFonts w:ascii="仿宋_GB2312" w:eastAsia="仿宋_GB2312" w:hAnsi="宋体" w:cs="宋体" w:hint="eastAsia"/>
          <w:color w:val="000000"/>
          <w:kern w:val="0"/>
          <w:sz w:val="28"/>
          <w:szCs w:val="28"/>
        </w:rPr>
        <w:lastRenderedPageBreak/>
        <w:t>因返航，涉案行程取消。当日原告多次拨打该中文客服热线号码，于</w:t>
      </w:r>
      <w:r>
        <w:rPr>
          <w:rFonts w:ascii="仿宋_GB2312" w:eastAsia="仿宋_GB2312" w:hAnsi="宋体" w:cs="宋体" w:hint="eastAsia"/>
          <w:color w:val="000000"/>
          <w:kern w:val="0"/>
          <w:sz w:val="28"/>
          <w:szCs w:val="28"/>
        </w:rPr>
        <w:t>10</w:t>
      </w:r>
      <w:r>
        <w:rPr>
          <w:rFonts w:ascii="仿宋_GB2312" w:eastAsia="仿宋_GB2312" w:hAnsi="宋体" w:cs="宋体" w:hint="eastAsia"/>
          <w:color w:val="000000"/>
          <w:kern w:val="0"/>
          <w:sz w:val="28"/>
          <w:szCs w:val="28"/>
        </w:rPr>
        <w:t>点</w:t>
      </w:r>
      <w:r>
        <w:rPr>
          <w:rFonts w:ascii="仿宋_GB2312" w:eastAsia="仿宋_GB2312" w:hAnsi="宋体" w:cs="宋体" w:hint="eastAsia"/>
          <w:color w:val="000000"/>
          <w:kern w:val="0"/>
          <w:sz w:val="28"/>
          <w:szCs w:val="28"/>
        </w:rPr>
        <w:t>51</w:t>
      </w:r>
      <w:r>
        <w:rPr>
          <w:rFonts w:ascii="仿宋_GB2312" w:eastAsia="仿宋_GB2312" w:hAnsi="宋体" w:cs="宋体" w:hint="eastAsia"/>
          <w:color w:val="000000"/>
          <w:kern w:val="0"/>
          <w:sz w:val="28"/>
          <w:szCs w:val="28"/>
        </w:rPr>
        <w:t>分拨通，呼出时间持续</w:t>
      </w: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分</w:t>
      </w:r>
      <w:r>
        <w:rPr>
          <w:rFonts w:ascii="仿宋_GB2312" w:eastAsia="仿宋_GB2312" w:hAnsi="宋体" w:cs="宋体" w:hint="eastAsia"/>
          <w:color w:val="000000"/>
          <w:kern w:val="0"/>
          <w:sz w:val="28"/>
          <w:szCs w:val="28"/>
        </w:rPr>
        <w:t>2</w:t>
      </w:r>
      <w:r>
        <w:rPr>
          <w:rFonts w:ascii="仿宋_GB2312" w:eastAsia="仿宋_GB2312" w:hAnsi="宋体" w:cs="宋体" w:hint="eastAsia"/>
          <w:color w:val="000000"/>
          <w:kern w:val="0"/>
          <w:sz w:val="28"/>
          <w:szCs w:val="28"/>
        </w:rPr>
        <w:t>秒。同日，该号码于</w:t>
      </w:r>
      <w:r>
        <w:rPr>
          <w:rFonts w:ascii="仿宋_GB2312" w:eastAsia="仿宋_GB2312" w:hAnsi="宋体" w:cs="宋体" w:hint="eastAsia"/>
          <w:color w:val="000000"/>
          <w:kern w:val="0"/>
          <w:sz w:val="28"/>
          <w:szCs w:val="28"/>
        </w:rPr>
        <w:t>10</w:t>
      </w:r>
      <w:r>
        <w:rPr>
          <w:rFonts w:ascii="仿宋_GB2312" w:eastAsia="仿宋_GB2312" w:hAnsi="宋体" w:cs="宋体" w:hint="eastAsia"/>
          <w:color w:val="000000"/>
          <w:kern w:val="0"/>
          <w:sz w:val="28"/>
          <w:szCs w:val="28"/>
        </w:rPr>
        <w:t>点</w:t>
      </w:r>
      <w:r>
        <w:rPr>
          <w:rFonts w:ascii="仿宋_GB2312" w:eastAsia="仿宋_GB2312" w:hAnsi="宋体" w:cs="宋体" w:hint="eastAsia"/>
          <w:color w:val="000000"/>
          <w:kern w:val="0"/>
          <w:sz w:val="28"/>
          <w:szCs w:val="28"/>
        </w:rPr>
        <w:t>55</w:t>
      </w:r>
      <w:r>
        <w:rPr>
          <w:rFonts w:ascii="仿宋_GB2312" w:eastAsia="仿宋_GB2312" w:hAnsi="宋体" w:cs="宋体" w:hint="eastAsia"/>
          <w:color w:val="000000"/>
          <w:kern w:val="0"/>
          <w:sz w:val="28"/>
          <w:szCs w:val="28"/>
        </w:rPr>
        <w:t>分致电原告，呼入时间持续</w:t>
      </w:r>
      <w:r>
        <w:rPr>
          <w:rFonts w:ascii="仿宋_GB2312" w:eastAsia="仿宋_GB2312" w:hAnsi="宋体" w:cs="宋体" w:hint="eastAsia"/>
          <w:color w:val="000000"/>
          <w:kern w:val="0"/>
          <w:sz w:val="28"/>
          <w:szCs w:val="28"/>
        </w:rPr>
        <w:t>19</w:t>
      </w:r>
      <w:r>
        <w:rPr>
          <w:rFonts w:ascii="仿宋_GB2312" w:eastAsia="仿宋_GB2312" w:hAnsi="宋体" w:cs="宋体" w:hint="eastAsia"/>
          <w:color w:val="000000"/>
          <w:kern w:val="0"/>
          <w:sz w:val="28"/>
          <w:szCs w:val="28"/>
        </w:rPr>
        <w:t>秒。后原告自行前往泰国当地医院就诊。回国后原告再次至医院就诊被诊断为腰椎骨折。同日，原告拨打被告</w:t>
      </w:r>
      <w:r>
        <w:rPr>
          <w:rFonts w:ascii="仿宋_GB2312" w:eastAsia="仿宋_GB2312" w:hAnsi="宋体" w:cs="宋体"/>
          <w:color w:val="000000"/>
          <w:kern w:val="0"/>
          <w:sz w:val="28"/>
          <w:szCs w:val="28"/>
        </w:rPr>
        <w:t>平台</w:t>
      </w:r>
      <w:r>
        <w:rPr>
          <w:rFonts w:ascii="仿宋_GB2312" w:eastAsia="仿宋_GB2312" w:hAnsi="宋体" w:cs="宋体" w:hint="eastAsia"/>
          <w:color w:val="000000"/>
          <w:kern w:val="0"/>
          <w:sz w:val="28"/>
          <w:szCs w:val="28"/>
        </w:rPr>
        <w:t>国内客服电话，投诉反馈受伤事宜。经与被告多次协商未果，遂诉至法院。</w:t>
      </w:r>
    </w:p>
    <w:p w:rsidR="000256CD" w:rsidRDefault="004A4EF0">
      <w:pPr>
        <w:widowControl/>
        <w:spacing w:before="100" w:beforeAutospacing="1" w:after="100" w:afterAutospacing="1"/>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法院经审理认</w:t>
      </w:r>
      <w:r>
        <w:rPr>
          <w:rFonts w:ascii="仿宋_GB2312" w:eastAsia="仿宋_GB2312" w:hAnsi="宋体" w:cs="宋体" w:hint="eastAsia"/>
          <w:color w:val="000000"/>
          <w:kern w:val="0"/>
          <w:sz w:val="28"/>
          <w:szCs w:val="28"/>
        </w:rPr>
        <w:t>为，相较商品服务信息、交易信息而言，平台在线或售后投诉反馈记录虽属于交易完成之后产生的服务信息，但其内容往往与合同履行情况紧密相关，在双方发生争议的情况下，投诉内容在还原最初事实和情况方面具有较高的证明效力。如允许电子商务平台利用《电子商务法》第三十一条有关信息保护范围的规定作为免责理由，则显然将导致当事人从不诚信的行为中获利，并最终导致不公平的结果。故在双方发生争议后，电子商务平台就售后投诉记录等相关信息保存负有更高的注意义务。如电子商务平台未能提供应当由其保管的于其不利的信息，可推定对方消费者主张内容属</w:t>
      </w:r>
      <w:r>
        <w:rPr>
          <w:rFonts w:ascii="仿宋_GB2312" w:eastAsia="仿宋_GB2312" w:hAnsi="宋体" w:cs="宋体" w:hint="eastAsia"/>
          <w:color w:val="000000"/>
          <w:kern w:val="0"/>
          <w:sz w:val="28"/>
          <w:szCs w:val="28"/>
        </w:rPr>
        <w:t>实，由平台经营者依法承担不利后果。</w:t>
      </w:r>
    </w:p>
    <w:p w:rsidR="000256CD" w:rsidRDefault="000256CD"/>
    <w:sectPr w:rsidR="000256CD" w:rsidSect="000256C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F0" w:rsidRDefault="004A4EF0" w:rsidP="000256CD">
      <w:r>
        <w:separator/>
      </w:r>
    </w:p>
  </w:endnote>
  <w:endnote w:type="continuationSeparator" w:id="1">
    <w:p w:rsidR="004A4EF0" w:rsidRDefault="004A4EF0" w:rsidP="000256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CD" w:rsidRDefault="000256CD">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256CD" w:rsidRDefault="000256CD">
                <w:pPr>
                  <w:pStyle w:val="a4"/>
                </w:pPr>
                <w:r>
                  <w:rPr>
                    <w:rFonts w:hint="eastAsia"/>
                  </w:rPr>
                  <w:fldChar w:fldCharType="begin"/>
                </w:r>
                <w:r w:rsidR="004A4EF0">
                  <w:rPr>
                    <w:rFonts w:hint="eastAsia"/>
                  </w:rPr>
                  <w:instrText xml:space="preserve"> PAGE  \* MERGEFORMAT </w:instrText>
                </w:r>
                <w:r>
                  <w:rPr>
                    <w:rFonts w:hint="eastAsia"/>
                  </w:rPr>
                  <w:fldChar w:fldCharType="separate"/>
                </w:r>
                <w:r w:rsidR="00D37382">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F0" w:rsidRDefault="004A4EF0" w:rsidP="000256CD">
      <w:r>
        <w:separator/>
      </w:r>
    </w:p>
  </w:footnote>
  <w:footnote w:type="continuationSeparator" w:id="1">
    <w:p w:rsidR="004A4EF0" w:rsidRDefault="004A4EF0" w:rsidP="00025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6D5"/>
    <w:multiLevelType w:val="multilevel"/>
    <w:tmpl w:val="143566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6A7"/>
    <w:rsid w:val="00013733"/>
    <w:rsid w:val="000256CD"/>
    <w:rsid w:val="001F39A6"/>
    <w:rsid w:val="002C3025"/>
    <w:rsid w:val="002C3295"/>
    <w:rsid w:val="002E0E42"/>
    <w:rsid w:val="0037235F"/>
    <w:rsid w:val="003A08F8"/>
    <w:rsid w:val="00463406"/>
    <w:rsid w:val="004A4EF0"/>
    <w:rsid w:val="004F2C6E"/>
    <w:rsid w:val="005264AF"/>
    <w:rsid w:val="005613DB"/>
    <w:rsid w:val="005F5E00"/>
    <w:rsid w:val="00611BD3"/>
    <w:rsid w:val="006576A7"/>
    <w:rsid w:val="0078233F"/>
    <w:rsid w:val="00797129"/>
    <w:rsid w:val="00983F98"/>
    <w:rsid w:val="00987232"/>
    <w:rsid w:val="009A7064"/>
    <w:rsid w:val="009D4220"/>
    <w:rsid w:val="00A21B25"/>
    <w:rsid w:val="00BF16A2"/>
    <w:rsid w:val="00C73D82"/>
    <w:rsid w:val="00CA251C"/>
    <w:rsid w:val="00CB34FD"/>
    <w:rsid w:val="00D37382"/>
    <w:rsid w:val="00D95308"/>
    <w:rsid w:val="00E14090"/>
    <w:rsid w:val="00E71A93"/>
    <w:rsid w:val="00FE09B3"/>
    <w:rsid w:val="4EC71C28"/>
    <w:rsid w:val="52551B17"/>
    <w:rsid w:val="61950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56CD"/>
    <w:rPr>
      <w:sz w:val="18"/>
      <w:szCs w:val="18"/>
    </w:rPr>
  </w:style>
  <w:style w:type="paragraph" w:styleId="a4">
    <w:name w:val="footer"/>
    <w:basedOn w:val="a"/>
    <w:uiPriority w:val="99"/>
    <w:semiHidden/>
    <w:unhideWhenUsed/>
    <w:rsid w:val="000256CD"/>
    <w:pPr>
      <w:tabs>
        <w:tab w:val="center" w:pos="4153"/>
        <w:tab w:val="right" w:pos="8306"/>
      </w:tabs>
      <w:snapToGrid w:val="0"/>
      <w:jc w:val="left"/>
    </w:pPr>
    <w:rPr>
      <w:sz w:val="18"/>
    </w:rPr>
  </w:style>
  <w:style w:type="paragraph" w:styleId="a5">
    <w:name w:val="header"/>
    <w:basedOn w:val="a"/>
    <w:uiPriority w:val="99"/>
    <w:semiHidden/>
    <w:unhideWhenUsed/>
    <w:rsid w:val="000256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0256CD"/>
    <w:pPr>
      <w:spacing w:before="100" w:beforeAutospacing="1" w:after="100" w:afterAutospacing="1"/>
      <w:jc w:val="left"/>
    </w:pPr>
    <w:rPr>
      <w:rFonts w:ascii="Times New Roman" w:eastAsia="宋体" w:hAnsi="Times New Roman" w:cs="Times New Roman"/>
      <w:kern w:val="0"/>
      <w:sz w:val="24"/>
      <w:szCs w:val="20"/>
    </w:rPr>
  </w:style>
  <w:style w:type="paragraph" w:styleId="a7">
    <w:name w:val="List Paragraph"/>
    <w:basedOn w:val="a"/>
    <w:uiPriority w:val="34"/>
    <w:qFormat/>
    <w:rsid w:val="000256CD"/>
    <w:pPr>
      <w:ind w:firstLineChars="200" w:firstLine="420"/>
    </w:pPr>
  </w:style>
  <w:style w:type="character" w:customStyle="1" w:styleId="Char">
    <w:name w:val="批注框文本 Char"/>
    <w:basedOn w:val="a0"/>
    <w:link w:val="a3"/>
    <w:uiPriority w:val="99"/>
    <w:semiHidden/>
    <w:qFormat/>
    <w:rsid w:val="000256C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0E3BAF-F523-404E-B1D4-2AA3D0006D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CNFY</dc:creator>
  <cp:lastModifiedBy>user</cp:lastModifiedBy>
  <cp:revision>11</cp:revision>
  <cp:lastPrinted>2020-12-24T00:43:00Z</cp:lastPrinted>
  <dcterms:created xsi:type="dcterms:W3CDTF">2020-12-24T01:17:00Z</dcterms:created>
  <dcterms:modified xsi:type="dcterms:W3CDTF">2021-01-06T06:35:00Z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