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67" w:rsidRPr="00DF2593" w:rsidRDefault="00B15967" w:rsidP="000A7638">
      <w:pPr>
        <w:pStyle w:val="a3"/>
        <w:widowControl/>
        <w:spacing w:before="0" w:beforeAutospacing="0" w:after="0" w:afterAutospacing="0" w:line="560" w:lineRule="exact"/>
        <w:jc w:val="center"/>
        <w:rPr>
          <w:rFonts w:ascii="黑体" w:eastAsia="黑体" w:hAnsi="黑体" w:cs="黑体"/>
          <w:b/>
          <w:bCs/>
          <w:color w:val="000000"/>
          <w:sz w:val="44"/>
          <w:szCs w:val="52"/>
        </w:rPr>
      </w:pPr>
      <w:r w:rsidRPr="00DF2593">
        <w:rPr>
          <w:rFonts w:ascii="黑体" w:eastAsia="黑体" w:hAnsi="黑体" w:cs="黑体" w:hint="eastAsia"/>
          <w:b/>
          <w:bCs/>
          <w:color w:val="000000"/>
          <w:sz w:val="44"/>
          <w:szCs w:val="52"/>
        </w:rPr>
        <w:t>2020年度上海金融法院</w:t>
      </w:r>
    </w:p>
    <w:p w:rsidR="00B15967" w:rsidRPr="00DF2593" w:rsidRDefault="00B15967" w:rsidP="000A7638">
      <w:pPr>
        <w:pStyle w:val="a3"/>
        <w:widowControl/>
        <w:spacing w:before="0" w:beforeAutospacing="0" w:after="0" w:afterAutospacing="0" w:line="560" w:lineRule="exact"/>
        <w:jc w:val="center"/>
        <w:rPr>
          <w:rFonts w:ascii="黑体" w:eastAsia="黑体" w:hAnsi="黑体" w:cs="黑体"/>
          <w:b/>
          <w:bCs/>
          <w:color w:val="000000"/>
          <w:sz w:val="44"/>
          <w:szCs w:val="52"/>
        </w:rPr>
      </w:pPr>
      <w:r w:rsidRPr="00DF2593">
        <w:rPr>
          <w:rFonts w:ascii="黑体" w:eastAsia="黑体" w:hAnsi="黑体" w:cs="黑体" w:hint="eastAsia"/>
          <w:b/>
          <w:bCs/>
          <w:color w:val="000000"/>
          <w:sz w:val="44"/>
          <w:szCs w:val="52"/>
        </w:rPr>
        <w:t>十大典型案例</w:t>
      </w:r>
    </w:p>
    <w:p w:rsidR="00B15967" w:rsidRPr="007D2DB3" w:rsidRDefault="00B15967" w:rsidP="000A7638">
      <w:pPr>
        <w:pStyle w:val="a3"/>
        <w:widowControl/>
        <w:spacing w:before="0" w:beforeAutospacing="0" w:after="0" w:afterAutospacing="0" w:line="560" w:lineRule="exact"/>
        <w:jc w:val="center"/>
        <w:rPr>
          <w:rFonts w:ascii="仿宋_GB2312" w:eastAsia="仿宋_GB2312" w:hAnsi="宋体" w:cs="宋体"/>
          <w:b/>
          <w:bCs/>
          <w:color w:val="000000"/>
          <w:sz w:val="32"/>
          <w:szCs w:val="32"/>
        </w:rPr>
      </w:pPr>
    </w:p>
    <w:p w:rsidR="00B15967" w:rsidRPr="007D2DB3" w:rsidRDefault="00B15967" w:rsidP="000A7638">
      <w:pPr>
        <w:pStyle w:val="a3"/>
        <w:widowControl/>
        <w:spacing w:before="0" w:beforeAutospacing="0" w:after="0" w:afterAutospacing="0" w:line="560" w:lineRule="exact"/>
        <w:jc w:val="center"/>
        <w:rPr>
          <w:rFonts w:ascii="仿宋_GB2312" w:eastAsia="仿宋_GB2312" w:hAnsi="宋体" w:cs="宋体"/>
          <w:b/>
          <w:bCs/>
          <w:color w:val="000000"/>
          <w:sz w:val="32"/>
          <w:szCs w:val="32"/>
        </w:rPr>
      </w:pPr>
    </w:p>
    <w:p w:rsidR="00B15967" w:rsidRPr="007D2DB3" w:rsidRDefault="00B15967" w:rsidP="000A7638">
      <w:pPr>
        <w:pStyle w:val="a3"/>
        <w:widowControl/>
        <w:spacing w:before="0" w:beforeAutospacing="0" w:after="0" w:afterAutospacing="0" w:line="560" w:lineRule="exact"/>
        <w:jc w:val="center"/>
        <w:rPr>
          <w:rFonts w:ascii="仿宋_GB2312" w:eastAsia="仿宋_GB2312" w:hAnsi="宋体" w:cs="宋体"/>
          <w:b/>
          <w:bCs/>
          <w:color w:val="000000"/>
          <w:sz w:val="44"/>
          <w:szCs w:val="44"/>
        </w:rPr>
      </w:pPr>
      <w:r w:rsidRPr="007D2DB3">
        <w:rPr>
          <w:rFonts w:ascii="仿宋_GB2312" w:eastAsia="仿宋_GB2312" w:hAnsi="宋体" w:cs="宋体" w:hint="eastAsia"/>
          <w:b/>
          <w:bCs/>
          <w:color w:val="000000"/>
          <w:sz w:val="44"/>
          <w:szCs w:val="44"/>
        </w:rPr>
        <w:t>目  录</w:t>
      </w:r>
    </w:p>
    <w:p w:rsidR="00B12B04" w:rsidRDefault="00B12B04" w:rsidP="000A7638">
      <w:pPr>
        <w:widowControl/>
        <w:spacing w:line="560" w:lineRule="exact"/>
        <w:rPr>
          <w:rFonts w:asciiTheme="minorEastAsia" w:eastAsiaTheme="minorEastAsia" w:hAnsiTheme="minorEastAsia"/>
          <w:color w:val="000000"/>
          <w:kern w:val="0"/>
          <w:sz w:val="28"/>
          <w:szCs w:val="32"/>
        </w:rPr>
      </w:pPr>
    </w:p>
    <w:p w:rsidR="007D2DB3" w:rsidRPr="00B12B04" w:rsidRDefault="007D2DB3" w:rsidP="000A7638">
      <w:pPr>
        <w:widowControl/>
        <w:spacing w:line="560" w:lineRule="exact"/>
        <w:rPr>
          <w:rFonts w:asciiTheme="minorEastAsia" w:eastAsiaTheme="minorEastAsia" w:hAnsiTheme="minorEastAsia"/>
          <w:color w:val="000000"/>
          <w:kern w:val="0"/>
          <w:sz w:val="28"/>
          <w:szCs w:val="32"/>
        </w:rPr>
      </w:pPr>
      <w:r w:rsidRPr="00B12B04">
        <w:rPr>
          <w:rFonts w:asciiTheme="minorEastAsia" w:eastAsiaTheme="minorEastAsia" w:hAnsiTheme="minorEastAsia" w:hint="eastAsia"/>
          <w:color w:val="000000"/>
          <w:kern w:val="0"/>
          <w:sz w:val="28"/>
          <w:szCs w:val="32"/>
        </w:rPr>
        <w:t>1.</w:t>
      </w:r>
      <w:r w:rsidRPr="00B12B04">
        <w:rPr>
          <w:rFonts w:asciiTheme="minorEastAsia" w:eastAsiaTheme="minorEastAsia" w:hAnsiTheme="minorEastAsia" w:hint="eastAsia"/>
          <w:sz w:val="28"/>
          <w:szCs w:val="32"/>
        </w:rPr>
        <w:t xml:space="preserve"> </w:t>
      </w:r>
      <w:r w:rsidR="00C857A2" w:rsidRPr="00B12B04">
        <w:rPr>
          <w:rFonts w:asciiTheme="minorEastAsia" w:eastAsiaTheme="minorEastAsia" w:hAnsiTheme="minorEastAsia" w:hint="eastAsia"/>
          <w:color w:val="000000"/>
          <w:kern w:val="0"/>
          <w:sz w:val="28"/>
          <w:szCs w:val="32"/>
        </w:rPr>
        <w:t>基于“多因子量化模型”精确核定证券虚假陈述投资者损失——</w:t>
      </w:r>
      <w:r w:rsidRPr="00B12B04">
        <w:rPr>
          <w:rFonts w:asciiTheme="minorEastAsia" w:eastAsiaTheme="minorEastAsia" w:hAnsiTheme="minorEastAsia" w:hint="eastAsia"/>
          <w:color w:val="000000"/>
          <w:kern w:val="0"/>
          <w:sz w:val="28"/>
          <w:szCs w:val="32"/>
        </w:rPr>
        <w:t>许某</w:t>
      </w:r>
      <w:r w:rsidR="00565DD8" w:rsidRPr="00B12B04">
        <w:rPr>
          <w:rFonts w:asciiTheme="minorEastAsia" w:eastAsiaTheme="minorEastAsia" w:hAnsiTheme="minorEastAsia" w:hint="eastAsia"/>
          <w:color w:val="000000"/>
          <w:kern w:val="0"/>
          <w:sz w:val="28"/>
          <w:szCs w:val="32"/>
        </w:rPr>
        <w:t>鑫</w:t>
      </w:r>
      <w:r w:rsidRPr="00B12B04">
        <w:rPr>
          <w:rFonts w:asciiTheme="minorEastAsia" w:eastAsiaTheme="minorEastAsia" w:hAnsiTheme="minorEastAsia" w:hint="eastAsia"/>
          <w:color w:val="000000"/>
          <w:kern w:val="0"/>
          <w:sz w:val="28"/>
          <w:szCs w:val="32"/>
        </w:rPr>
        <w:t>等诉</w:t>
      </w:r>
      <w:r w:rsidR="006C2324" w:rsidRPr="00B12B04">
        <w:rPr>
          <w:rFonts w:asciiTheme="minorEastAsia" w:eastAsiaTheme="minorEastAsia" w:hAnsiTheme="minorEastAsia" w:hint="eastAsia"/>
          <w:sz w:val="28"/>
          <w:szCs w:val="32"/>
        </w:rPr>
        <w:t>上海普天邮通科技股份有限公司</w:t>
      </w:r>
      <w:r w:rsidRPr="00B12B04">
        <w:rPr>
          <w:rFonts w:asciiTheme="minorEastAsia" w:eastAsiaTheme="minorEastAsia" w:hAnsiTheme="minorEastAsia" w:hint="eastAsia"/>
          <w:color w:val="000000"/>
          <w:kern w:val="0"/>
          <w:sz w:val="28"/>
          <w:szCs w:val="32"/>
        </w:rPr>
        <w:t>证券虚假陈述责任纠纷案</w:t>
      </w:r>
    </w:p>
    <w:p w:rsidR="007D2DB3" w:rsidRPr="00B12B04" w:rsidRDefault="007D2DB3" w:rsidP="000A7638">
      <w:pPr>
        <w:widowControl/>
        <w:spacing w:line="560" w:lineRule="exact"/>
        <w:rPr>
          <w:rFonts w:asciiTheme="minorEastAsia" w:eastAsiaTheme="minorEastAsia" w:hAnsiTheme="minorEastAsia"/>
          <w:color w:val="000000"/>
          <w:kern w:val="0"/>
          <w:sz w:val="28"/>
          <w:szCs w:val="32"/>
        </w:rPr>
      </w:pPr>
      <w:r w:rsidRPr="00B12B04">
        <w:rPr>
          <w:rFonts w:asciiTheme="minorEastAsia" w:eastAsiaTheme="minorEastAsia" w:hAnsiTheme="minorEastAsia" w:hint="eastAsia"/>
          <w:color w:val="000000"/>
          <w:kern w:val="0"/>
          <w:sz w:val="28"/>
          <w:szCs w:val="32"/>
        </w:rPr>
        <w:t>2.</w:t>
      </w:r>
      <w:r w:rsidR="00FF27B7" w:rsidRPr="00B12B04">
        <w:rPr>
          <w:rFonts w:asciiTheme="minorEastAsia" w:eastAsiaTheme="minorEastAsia" w:hAnsiTheme="minorEastAsia" w:hint="eastAsia"/>
          <w:sz w:val="28"/>
          <w:szCs w:val="32"/>
        </w:rPr>
        <w:t xml:space="preserve"> </w:t>
      </w:r>
      <w:r w:rsidR="007C3DFD" w:rsidRPr="00B12B04">
        <w:rPr>
          <w:rFonts w:asciiTheme="minorEastAsia" w:eastAsiaTheme="minorEastAsia" w:hAnsiTheme="minorEastAsia" w:hint="eastAsia"/>
          <w:color w:val="000000"/>
          <w:kern w:val="0"/>
          <w:sz w:val="28"/>
          <w:szCs w:val="32"/>
        </w:rPr>
        <w:t>涉“维好协议”香港特别行政区法院判决在内地申请认可和执行的认定标准——</w:t>
      </w:r>
      <w:r w:rsidR="006C2324" w:rsidRPr="00B12B04">
        <w:rPr>
          <w:rFonts w:asciiTheme="minorEastAsia" w:eastAsiaTheme="minorEastAsia" w:hAnsiTheme="minorEastAsia" w:hint="eastAsia"/>
          <w:color w:val="000000"/>
          <w:kern w:val="0"/>
          <w:sz w:val="28"/>
          <w:szCs w:val="32"/>
        </w:rPr>
        <w:t>时和全球投资基金SPC-时和价值投资基金</w:t>
      </w:r>
      <w:r w:rsidR="00FF27B7" w:rsidRPr="00B12B04">
        <w:rPr>
          <w:rFonts w:asciiTheme="minorEastAsia" w:eastAsiaTheme="minorEastAsia" w:hAnsiTheme="minorEastAsia" w:hint="eastAsia"/>
          <w:color w:val="000000"/>
          <w:kern w:val="0"/>
          <w:sz w:val="28"/>
          <w:szCs w:val="32"/>
        </w:rPr>
        <w:t>申请认可和执行香港特别行政区法院民事判决案</w:t>
      </w:r>
    </w:p>
    <w:p w:rsidR="00FF27B7" w:rsidRPr="00B12B04" w:rsidRDefault="007D2DB3" w:rsidP="000A7638">
      <w:pPr>
        <w:widowControl/>
        <w:spacing w:line="560" w:lineRule="exact"/>
        <w:rPr>
          <w:rFonts w:asciiTheme="minorEastAsia" w:eastAsiaTheme="minorEastAsia" w:hAnsiTheme="minorEastAsia"/>
          <w:color w:val="000000"/>
          <w:kern w:val="0"/>
          <w:sz w:val="28"/>
          <w:szCs w:val="32"/>
        </w:rPr>
      </w:pPr>
      <w:r w:rsidRPr="00B12B04">
        <w:rPr>
          <w:rFonts w:asciiTheme="minorEastAsia" w:eastAsiaTheme="minorEastAsia" w:hAnsiTheme="minorEastAsia" w:hint="eastAsia"/>
          <w:color w:val="000000"/>
          <w:kern w:val="0"/>
          <w:sz w:val="28"/>
          <w:szCs w:val="32"/>
        </w:rPr>
        <w:t>3</w:t>
      </w:r>
      <w:bookmarkStart w:id="0" w:name="_Hlk508474267"/>
      <w:r w:rsidRPr="00B12B04">
        <w:rPr>
          <w:rFonts w:asciiTheme="minorEastAsia" w:eastAsiaTheme="minorEastAsia" w:hAnsiTheme="minorEastAsia" w:hint="eastAsia"/>
          <w:color w:val="000000"/>
          <w:kern w:val="0"/>
          <w:sz w:val="28"/>
          <w:szCs w:val="32"/>
        </w:rPr>
        <w:t>.</w:t>
      </w:r>
      <w:bookmarkEnd w:id="0"/>
      <w:r w:rsidR="00FF27B7" w:rsidRPr="00B12B04">
        <w:rPr>
          <w:rFonts w:asciiTheme="minorEastAsia" w:eastAsiaTheme="minorEastAsia" w:hAnsiTheme="minorEastAsia" w:hint="eastAsia"/>
          <w:color w:val="000000"/>
          <w:kern w:val="0"/>
          <w:sz w:val="28"/>
          <w:szCs w:val="32"/>
        </w:rPr>
        <w:t xml:space="preserve"> </w:t>
      </w:r>
      <w:r w:rsidR="0042017F" w:rsidRPr="00B12B04">
        <w:rPr>
          <w:rFonts w:asciiTheme="minorEastAsia" w:eastAsiaTheme="minorEastAsia" w:hAnsiTheme="minorEastAsia" w:hint="eastAsia"/>
          <w:color w:val="000000"/>
          <w:kern w:val="0"/>
          <w:sz w:val="28"/>
          <w:szCs w:val="32"/>
        </w:rPr>
        <w:t>通道类信托业务中受托人外部责任的司法认定——</w:t>
      </w:r>
      <w:r w:rsidR="003A34A5" w:rsidRPr="00B12B04">
        <w:rPr>
          <w:rFonts w:asciiTheme="minorEastAsia" w:eastAsiaTheme="minorEastAsia" w:hAnsiTheme="minorEastAsia" w:hint="eastAsia"/>
          <w:color w:val="000000"/>
          <w:kern w:val="0"/>
          <w:sz w:val="28"/>
          <w:szCs w:val="32"/>
        </w:rPr>
        <w:t>上诉人</w:t>
      </w:r>
      <w:r w:rsidR="00FF27B7" w:rsidRPr="00B12B04">
        <w:rPr>
          <w:rFonts w:asciiTheme="minorEastAsia" w:eastAsiaTheme="minorEastAsia" w:hAnsiTheme="minorEastAsia" w:hint="eastAsia"/>
          <w:color w:val="000000"/>
          <w:kern w:val="0"/>
          <w:sz w:val="28"/>
          <w:szCs w:val="32"/>
        </w:rPr>
        <w:t>吴某</w:t>
      </w:r>
      <w:r w:rsidR="003A34A5" w:rsidRPr="00B12B04">
        <w:rPr>
          <w:rFonts w:asciiTheme="minorEastAsia" w:eastAsiaTheme="minorEastAsia" w:hAnsiTheme="minorEastAsia" w:hint="eastAsia"/>
          <w:color w:val="000000"/>
          <w:kern w:val="0"/>
          <w:sz w:val="28"/>
          <w:szCs w:val="32"/>
        </w:rPr>
        <w:t>与上诉人</w:t>
      </w:r>
      <w:r w:rsidR="006C2324" w:rsidRPr="00B12B04">
        <w:rPr>
          <w:rFonts w:asciiTheme="minorEastAsia" w:eastAsiaTheme="minorEastAsia" w:hAnsiTheme="minorEastAsia" w:hint="eastAsia"/>
          <w:sz w:val="28"/>
          <w:szCs w:val="32"/>
        </w:rPr>
        <w:t>华澳国际信托有限公司</w:t>
      </w:r>
      <w:r w:rsidR="00663307" w:rsidRPr="00B12B04">
        <w:rPr>
          <w:rFonts w:asciiTheme="minorEastAsia" w:eastAsiaTheme="minorEastAsia" w:hAnsiTheme="minorEastAsia" w:hint="eastAsia"/>
          <w:color w:val="000000"/>
          <w:kern w:val="0"/>
          <w:sz w:val="28"/>
          <w:szCs w:val="32"/>
        </w:rPr>
        <w:t>财产损害赔偿纠纷</w:t>
      </w:r>
      <w:r w:rsidR="00FF27B7" w:rsidRPr="00B12B04">
        <w:rPr>
          <w:rFonts w:asciiTheme="minorEastAsia" w:eastAsiaTheme="minorEastAsia" w:hAnsiTheme="minorEastAsia" w:hint="eastAsia"/>
          <w:color w:val="000000"/>
          <w:kern w:val="0"/>
          <w:sz w:val="28"/>
          <w:szCs w:val="32"/>
        </w:rPr>
        <w:t>案</w:t>
      </w:r>
    </w:p>
    <w:p w:rsidR="007D2DB3" w:rsidRPr="00B12B04" w:rsidRDefault="007D2DB3" w:rsidP="000A7638">
      <w:pPr>
        <w:widowControl/>
        <w:spacing w:line="560" w:lineRule="exact"/>
        <w:rPr>
          <w:rFonts w:asciiTheme="minorEastAsia" w:eastAsiaTheme="minorEastAsia" w:hAnsiTheme="minorEastAsia"/>
          <w:sz w:val="28"/>
          <w:szCs w:val="32"/>
        </w:rPr>
      </w:pPr>
      <w:r w:rsidRPr="00B12B04">
        <w:rPr>
          <w:rFonts w:asciiTheme="minorEastAsia" w:eastAsiaTheme="minorEastAsia" w:hAnsiTheme="minorEastAsia" w:hint="eastAsia"/>
          <w:color w:val="000000"/>
          <w:kern w:val="0"/>
          <w:sz w:val="28"/>
          <w:szCs w:val="32"/>
        </w:rPr>
        <w:t>4.</w:t>
      </w:r>
      <w:r w:rsidR="007428F2" w:rsidRPr="00B12B04">
        <w:rPr>
          <w:rFonts w:asciiTheme="minorEastAsia" w:eastAsiaTheme="minorEastAsia" w:hAnsiTheme="minorEastAsia" w:hint="eastAsia"/>
          <w:sz w:val="28"/>
          <w:szCs w:val="32"/>
        </w:rPr>
        <w:t xml:space="preserve"> </w:t>
      </w:r>
      <w:r w:rsidR="00176300" w:rsidRPr="00B12B04">
        <w:rPr>
          <w:rFonts w:asciiTheme="minorEastAsia" w:eastAsiaTheme="minorEastAsia" w:hAnsiTheme="minorEastAsia" w:hint="eastAsia"/>
          <w:color w:val="000000"/>
          <w:kern w:val="0"/>
          <w:sz w:val="28"/>
          <w:szCs w:val="32"/>
        </w:rPr>
        <w:t>ISDA协议中终止净额结算条款的性质认定——</w:t>
      </w:r>
      <w:r w:rsidR="003A34A5" w:rsidRPr="00B12B04">
        <w:rPr>
          <w:rFonts w:asciiTheme="minorEastAsia" w:eastAsiaTheme="minorEastAsia" w:hAnsiTheme="minorEastAsia" w:hint="eastAsia"/>
          <w:color w:val="000000"/>
          <w:kern w:val="0"/>
          <w:sz w:val="28"/>
          <w:szCs w:val="32"/>
        </w:rPr>
        <w:t>上诉人</w:t>
      </w:r>
      <w:r w:rsidR="006C2324" w:rsidRPr="00B12B04">
        <w:rPr>
          <w:rFonts w:asciiTheme="minorEastAsia" w:eastAsiaTheme="minorEastAsia" w:hAnsiTheme="minorEastAsia" w:hint="eastAsia"/>
          <w:color w:val="000000"/>
          <w:kern w:val="0"/>
          <w:sz w:val="28"/>
          <w:szCs w:val="32"/>
        </w:rPr>
        <w:t>张家口联合石油化工有限公司</w:t>
      </w:r>
      <w:r w:rsidR="003A34A5" w:rsidRPr="00B12B04">
        <w:rPr>
          <w:rFonts w:asciiTheme="minorEastAsia" w:eastAsiaTheme="minorEastAsia" w:hAnsiTheme="minorEastAsia" w:hint="eastAsia"/>
          <w:color w:val="000000"/>
          <w:kern w:val="0"/>
          <w:sz w:val="28"/>
          <w:szCs w:val="32"/>
        </w:rPr>
        <w:t>与被上诉人渣打银行（中国）有限公司</w:t>
      </w:r>
      <w:r w:rsidR="007428F2" w:rsidRPr="00B12B04">
        <w:rPr>
          <w:rFonts w:asciiTheme="minorEastAsia" w:eastAsiaTheme="minorEastAsia" w:hAnsiTheme="minorEastAsia" w:hint="eastAsia"/>
          <w:color w:val="000000"/>
          <w:kern w:val="0"/>
          <w:sz w:val="28"/>
          <w:szCs w:val="32"/>
        </w:rPr>
        <w:t>金融衍生品种交易纠纷案</w:t>
      </w:r>
    </w:p>
    <w:p w:rsidR="007D2DB3" w:rsidRPr="00B12B04" w:rsidRDefault="007D2DB3" w:rsidP="000A7638">
      <w:pPr>
        <w:widowControl/>
        <w:spacing w:line="560" w:lineRule="exact"/>
        <w:rPr>
          <w:rFonts w:asciiTheme="minorEastAsia" w:eastAsiaTheme="minorEastAsia" w:hAnsiTheme="minorEastAsia"/>
          <w:color w:val="000000"/>
          <w:kern w:val="0"/>
          <w:sz w:val="28"/>
          <w:szCs w:val="32"/>
        </w:rPr>
      </w:pPr>
      <w:r w:rsidRPr="00B12B04">
        <w:rPr>
          <w:rFonts w:asciiTheme="minorEastAsia" w:eastAsiaTheme="minorEastAsia" w:hAnsiTheme="minorEastAsia" w:hint="eastAsia"/>
          <w:color w:val="000000"/>
          <w:kern w:val="0"/>
          <w:sz w:val="28"/>
          <w:szCs w:val="32"/>
        </w:rPr>
        <w:t>5.</w:t>
      </w:r>
      <w:r w:rsidR="006A445A" w:rsidRPr="00B12B04">
        <w:rPr>
          <w:rFonts w:asciiTheme="minorEastAsia" w:eastAsiaTheme="minorEastAsia" w:hAnsiTheme="minorEastAsia" w:hint="eastAsia"/>
          <w:color w:val="000000"/>
          <w:kern w:val="0"/>
          <w:sz w:val="28"/>
          <w:szCs w:val="32"/>
        </w:rPr>
        <w:t xml:space="preserve"> </w:t>
      </w:r>
      <w:r w:rsidR="00DB2766" w:rsidRPr="00B12B04">
        <w:rPr>
          <w:rFonts w:asciiTheme="minorEastAsia" w:eastAsiaTheme="minorEastAsia" w:hAnsiTheme="minorEastAsia" w:hint="eastAsia"/>
          <w:color w:val="000000"/>
          <w:kern w:val="0"/>
          <w:sz w:val="28"/>
          <w:szCs w:val="32"/>
        </w:rPr>
        <w:t>私募基金有限合伙企业之有限合伙人对赌效力的认定原则——</w:t>
      </w:r>
      <w:r w:rsidR="006C2324" w:rsidRPr="00B12B04">
        <w:rPr>
          <w:rFonts w:asciiTheme="minorEastAsia" w:eastAsiaTheme="minorEastAsia" w:hAnsiTheme="minorEastAsia" w:hint="eastAsia"/>
          <w:color w:val="000000"/>
          <w:kern w:val="0"/>
          <w:sz w:val="28"/>
          <w:szCs w:val="32"/>
        </w:rPr>
        <w:t>长安财富资产管理有限公司</w:t>
      </w:r>
      <w:r w:rsidR="00623E29" w:rsidRPr="00B12B04">
        <w:rPr>
          <w:rFonts w:asciiTheme="minorEastAsia" w:eastAsiaTheme="minorEastAsia" w:hAnsiTheme="minorEastAsia" w:hint="eastAsia"/>
          <w:color w:val="000000"/>
          <w:kern w:val="0"/>
          <w:sz w:val="28"/>
          <w:szCs w:val="32"/>
        </w:rPr>
        <w:t>诉</w:t>
      </w:r>
      <w:r w:rsidR="006C2324" w:rsidRPr="00B12B04">
        <w:rPr>
          <w:rFonts w:asciiTheme="minorEastAsia" w:eastAsiaTheme="minorEastAsia" w:hAnsiTheme="minorEastAsia" w:hint="eastAsia"/>
          <w:color w:val="000000"/>
          <w:kern w:val="0"/>
          <w:sz w:val="28"/>
          <w:szCs w:val="32"/>
        </w:rPr>
        <w:t>长城影视文化企业集团有限公司</w:t>
      </w:r>
      <w:r w:rsidR="00623E29" w:rsidRPr="00B12B04">
        <w:rPr>
          <w:rFonts w:asciiTheme="minorEastAsia" w:eastAsiaTheme="minorEastAsia" w:hAnsiTheme="minorEastAsia" w:hint="eastAsia"/>
          <w:color w:val="000000"/>
          <w:kern w:val="0"/>
          <w:sz w:val="28"/>
          <w:szCs w:val="32"/>
        </w:rPr>
        <w:t>、赵某勇、陈某美其他合同纠纷案</w:t>
      </w:r>
    </w:p>
    <w:p w:rsidR="006A445A" w:rsidRPr="00B12B04" w:rsidRDefault="006A445A" w:rsidP="000A7638">
      <w:pPr>
        <w:widowControl/>
        <w:spacing w:line="560" w:lineRule="exact"/>
        <w:rPr>
          <w:rFonts w:asciiTheme="minorEastAsia" w:eastAsiaTheme="minorEastAsia" w:hAnsiTheme="minorEastAsia"/>
          <w:color w:val="000000"/>
          <w:kern w:val="0"/>
          <w:sz w:val="28"/>
          <w:szCs w:val="32"/>
        </w:rPr>
      </w:pPr>
      <w:r w:rsidRPr="00B12B04">
        <w:rPr>
          <w:rFonts w:asciiTheme="minorEastAsia" w:eastAsiaTheme="minorEastAsia" w:hAnsiTheme="minorEastAsia" w:hint="eastAsia"/>
          <w:color w:val="000000"/>
          <w:kern w:val="0"/>
          <w:sz w:val="28"/>
          <w:szCs w:val="32"/>
        </w:rPr>
        <w:t>6.</w:t>
      </w:r>
      <w:r w:rsidR="00625A4D" w:rsidRPr="00B12B04">
        <w:rPr>
          <w:rFonts w:asciiTheme="minorEastAsia" w:eastAsiaTheme="minorEastAsia" w:hAnsiTheme="minorEastAsia" w:hint="eastAsia"/>
          <w:color w:val="000000"/>
          <w:kern w:val="0"/>
          <w:sz w:val="28"/>
          <w:szCs w:val="32"/>
        </w:rPr>
        <w:t xml:space="preserve"> </w:t>
      </w:r>
      <w:r w:rsidR="00C026E9" w:rsidRPr="00B12B04">
        <w:rPr>
          <w:rFonts w:asciiTheme="minorEastAsia" w:eastAsiaTheme="minorEastAsia" w:hAnsiTheme="minorEastAsia" w:hint="eastAsia"/>
          <w:color w:val="000000"/>
          <w:kern w:val="0"/>
          <w:sz w:val="28"/>
          <w:szCs w:val="32"/>
        </w:rPr>
        <w:t>上市公司对外关联担保的效力认定</w:t>
      </w:r>
      <w:r w:rsidR="000C0046" w:rsidRPr="00B12B04">
        <w:rPr>
          <w:rFonts w:asciiTheme="minorEastAsia" w:eastAsiaTheme="minorEastAsia" w:hAnsiTheme="minorEastAsia" w:hint="eastAsia"/>
          <w:color w:val="000000"/>
          <w:kern w:val="0"/>
          <w:sz w:val="28"/>
          <w:szCs w:val="32"/>
        </w:rPr>
        <w:t>——</w:t>
      </w:r>
      <w:r w:rsidR="00B14B1B" w:rsidRPr="00B12B04">
        <w:rPr>
          <w:rFonts w:asciiTheme="minorEastAsia" w:eastAsiaTheme="minorEastAsia" w:hAnsiTheme="minorEastAsia" w:hint="eastAsia"/>
          <w:color w:val="000000"/>
          <w:kern w:val="0"/>
          <w:sz w:val="28"/>
          <w:szCs w:val="32"/>
        </w:rPr>
        <w:t>上诉人</w:t>
      </w:r>
      <w:r w:rsidR="000A3D79" w:rsidRPr="00B12B04">
        <w:rPr>
          <w:rFonts w:asciiTheme="minorEastAsia" w:eastAsiaTheme="minorEastAsia" w:hAnsiTheme="minorEastAsia" w:hint="eastAsia"/>
          <w:color w:val="000000"/>
          <w:kern w:val="0"/>
          <w:sz w:val="28"/>
          <w:szCs w:val="32"/>
        </w:rPr>
        <w:t>湖南天</w:t>
      </w:r>
      <w:proofErr w:type="gramStart"/>
      <w:r w:rsidR="000A3D79" w:rsidRPr="00B12B04">
        <w:rPr>
          <w:rFonts w:asciiTheme="minorEastAsia" w:eastAsiaTheme="minorEastAsia" w:hAnsiTheme="minorEastAsia" w:hint="eastAsia"/>
          <w:color w:val="000000"/>
          <w:kern w:val="0"/>
          <w:sz w:val="28"/>
          <w:szCs w:val="32"/>
        </w:rPr>
        <w:t>润数字</w:t>
      </w:r>
      <w:proofErr w:type="gramEnd"/>
      <w:r w:rsidR="000A3D79" w:rsidRPr="00B12B04">
        <w:rPr>
          <w:rFonts w:asciiTheme="minorEastAsia" w:eastAsiaTheme="minorEastAsia" w:hAnsiTheme="minorEastAsia" w:hint="eastAsia"/>
          <w:color w:val="000000"/>
          <w:kern w:val="0"/>
          <w:sz w:val="28"/>
          <w:szCs w:val="32"/>
        </w:rPr>
        <w:t>娱乐文化传媒股份有限公司</w:t>
      </w:r>
      <w:r w:rsidR="00B14B1B" w:rsidRPr="00B12B04">
        <w:rPr>
          <w:rFonts w:asciiTheme="minorEastAsia" w:eastAsiaTheme="minorEastAsia" w:hAnsiTheme="minorEastAsia" w:hint="eastAsia"/>
          <w:color w:val="000000"/>
          <w:kern w:val="0"/>
          <w:sz w:val="28"/>
          <w:szCs w:val="32"/>
        </w:rPr>
        <w:t>与被上诉人</w:t>
      </w:r>
      <w:proofErr w:type="gramStart"/>
      <w:r w:rsidR="00B14B1B" w:rsidRPr="00B12B04">
        <w:rPr>
          <w:rFonts w:asciiTheme="minorEastAsia" w:eastAsiaTheme="minorEastAsia" w:hAnsiTheme="minorEastAsia" w:hint="eastAsia"/>
          <w:color w:val="000000"/>
          <w:kern w:val="0"/>
          <w:sz w:val="28"/>
          <w:szCs w:val="32"/>
        </w:rPr>
        <w:t>恒旺管理</w:t>
      </w:r>
      <w:proofErr w:type="gramEnd"/>
      <w:r w:rsidR="00B14B1B" w:rsidRPr="00B12B04">
        <w:rPr>
          <w:rFonts w:asciiTheme="minorEastAsia" w:eastAsiaTheme="minorEastAsia" w:hAnsiTheme="minorEastAsia" w:hint="eastAsia"/>
          <w:color w:val="000000"/>
          <w:kern w:val="0"/>
          <w:sz w:val="28"/>
          <w:szCs w:val="32"/>
        </w:rPr>
        <w:t>咨询（深圳）有限公司</w:t>
      </w:r>
      <w:r w:rsidR="00692A7C" w:rsidRPr="00B12B04">
        <w:rPr>
          <w:rFonts w:asciiTheme="minorEastAsia" w:eastAsiaTheme="minorEastAsia" w:hAnsiTheme="minorEastAsia" w:hint="eastAsia"/>
          <w:color w:val="000000"/>
          <w:kern w:val="0"/>
          <w:sz w:val="28"/>
          <w:szCs w:val="32"/>
        </w:rPr>
        <w:t>等</w:t>
      </w:r>
      <w:r w:rsidR="00AE47C6" w:rsidRPr="00B12B04">
        <w:rPr>
          <w:rFonts w:asciiTheme="minorEastAsia" w:eastAsiaTheme="minorEastAsia" w:hAnsiTheme="minorEastAsia" w:hint="eastAsia"/>
          <w:color w:val="000000"/>
          <w:kern w:val="0"/>
          <w:sz w:val="28"/>
          <w:szCs w:val="32"/>
        </w:rPr>
        <w:t>其他合同纠纷</w:t>
      </w:r>
      <w:r w:rsidRPr="00B12B04">
        <w:rPr>
          <w:rFonts w:asciiTheme="minorEastAsia" w:eastAsiaTheme="minorEastAsia" w:hAnsiTheme="minorEastAsia" w:hint="eastAsia"/>
          <w:color w:val="000000"/>
          <w:kern w:val="0"/>
          <w:sz w:val="28"/>
          <w:szCs w:val="32"/>
        </w:rPr>
        <w:t>案</w:t>
      </w:r>
    </w:p>
    <w:p w:rsidR="00AE47C6" w:rsidRPr="00B12B04" w:rsidRDefault="00AE47C6" w:rsidP="000A7638">
      <w:pPr>
        <w:spacing w:line="560" w:lineRule="exact"/>
        <w:rPr>
          <w:rFonts w:asciiTheme="minorEastAsia" w:eastAsiaTheme="minorEastAsia" w:hAnsiTheme="minorEastAsia"/>
          <w:color w:val="000000"/>
          <w:kern w:val="0"/>
          <w:sz w:val="28"/>
          <w:szCs w:val="32"/>
        </w:rPr>
      </w:pPr>
      <w:r w:rsidRPr="00B12B04">
        <w:rPr>
          <w:rFonts w:asciiTheme="minorEastAsia" w:eastAsiaTheme="minorEastAsia" w:hAnsiTheme="minorEastAsia" w:hint="eastAsia"/>
          <w:color w:val="000000"/>
          <w:kern w:val="0"/>
          <w:sz w:val="28"/>
          <w:szCs w:val="32"/>
        </w:rPr>
        <w:t>7.</w:t>
      </w:r>
      <w:r w:rsidR="00625A4D" w:rsidRPr="00B12B04">
        <w:rPr>
          <w:rFonts w:asciiTheme="minorEastAsia" w:eastAsiaTheme="minorEastAsia" w:hAnsiTheme="minorEastAsia" w:hint="eastAsia"/>
          <w:color w:val="000000"/>
          <w:kern w:val="0"/>
          <w:sz w:val="28"/>
          <w:szCs w:val="32"/>
        </w:rPr>
        <w:t xml:space="preserve"> </w:t>
      </w:r>
      <w:proofErr w:type="gramStart"/>
      <w:r w:rsidR="00B72158" w:rsidRPr="00B12B04">
        <w:rPr>
          <w:rFonts w:asciiTheme="minorEastAsia" w:eastAsiaTheme="minorEastAsia" w:hAnsiTheme="minorEastAsia" w:hint="eastAsia"/>
          <w:color w:val="000000"/>
          <w:kern w:val="0"/>
          <w:sz w:val="28"/>
          <w:szCs w:val="32"/>
        </w:rPr>
        <w:t>资管计划</w:t>
      </w:r>
      <w:proofErr w:type="gramEnd"/>
      <w:r w:rsidR="00B72158" w:rsidRPr="00B12B04">
        <w:rPr>
          <w:rFonts w:asciiTheme="minorEastAsia" w:eastAsiaTheme="minorEastAsia" w:hAnsiTheme="minorEastAsia" w:hint="eastAsia"/>
          <w:color w:val="000000"/>
          <w:kern w:val="0"/>
          <w:sz w:val="28"/>
          <w:szCs w:val="32"/>
        </w:rPr>
        <w:t>作为司法拍卖竞买主体的资格审查——</w:t>
      </w:r>
      <w:r w:rsidR="000A3D79" w:rsidRPr="00B12B04">
        <w:rPr>
          <w:rFonts w:asciiTheme="minorEastAsia" w:eastAsiaTheme="minorEastAsia" w:hAnsiTheme="minorEastAsia" w:hint="eastAsia"/>
          <w:color w:val="000000"/>
          <w:kern w:val="0"/>
          <w:sz w:val="28"/>
          <w:szCs w:val="32"/>
        </w:rPr>
        <w:t>海通证券股份有</w:t>
      </w:r>
      <w:r w:rsidR="000A3D79" w:rsidRPr="00B12B04">
        <w:rPr>
          <w:rFonts w:asciiTheme="minorEastAsia" w:eastAsiaTheme="minorEastAsia" w:hAnsiTheme="minorEastAsia" w:hint="eastAsia"/>
          <w:color w:val="000000"/>
          <w:kern w:val="0"/>
          <w:sz w:val="28"/>
          <w:szCs w:val="32"/>
        </w:rPr>
        <w:lastRenderedPageBreak/>
        <w:t>限公司申请执行中国华力控股集团有限公司</w:t>
      </w:r>
      <w:r w:rsidRPr="00B12B04">
        <w:rPr>
          <w:rFonts w:asciiTheme="minorEastAsia" w:eastAsiaTheme="minorEastAsia" w:hAnsiTheme="minorEastAsia" w:hint="eastAsia"/>
          <w:color w:val="000000"/>
          <w:kern w:val="0"/>
          <w:sz w:val="28"/>
          <w:szCs w:val="32"/>
        </w:rPr>
        <w:t>、丁某山质押</w:t>
      </w:r>
      <w:proofErr w:type="gramStart"/>
      <w:r w:rsidRPr="00B12B04">
        <w:rPr>
          <w:rFonts w:asciiTheme="minorEastAsia" w:eastAsiaTheme="minorEastAsia" w:hAnsiTheme="minorEastAsia" w:hint="eastAsia"/>
          <w:color w:val="000000"/>
          <w:kern w:val="0"/>
          <w:sz w:val="28"/>
          <w:szCs w:val="32"/>
        </w:rPr>
        <w:t>式证券</w:t>
      </w:r>
      <w:proofErr w:type="gramEnd"/>
      <w:r w:rsidRPr="00B12B04">
        <w:rPr>
          <w:rFonts w:asciiTheme="minorEastAsia" w:eastAsiaTheme="minorEastAsia" w:hAnsiTheme="minorEastAsia" w:hint="eastAsia"/>
          <w:color w:val="000000"/>
          <w:kern w:val="0"/>
          <w:sz w:val="28"/>
          <w:szCs w:val="32"/>
        </w:rPr>
        <w:t>回购纠纷案</w:t>
      </w:r>
    </w:p>
    <w:p w:rsidR="00625A4D" w:rsidRPr="00B12B04" w:rsidRDefault="00AE47C6" w:rsidP="000A7638">
      <w:pPr>
        <w:widowControl/>
        <w:spacing w:line="560" w:lineRule="exact"/>
        <w:rPr>
          <w:rFonts w:asciiTheme="minorEastAsia" w:eastAsiaTheme="minorEastAsia" w:hAnsiTheme="minorEastAsia"/>
          <w:color w:val="000000"/>
          <w:kern w:val="0"/>
          <w:sz w:val="28"/>
          <w:szCs w:val="32"/>
        </w:rPr>
      </w:pPr>
      <w:r w:rsidRPr="00B12B04">
        <w:rPr>
          <w:rFonts w:asciiTheme="minorEastAsia" w:eastAsiaTheme="minorEastAsia" w:hAnsiTheme="minorEastAsia" w:hint="eastAsia"/>
          <w:color w:val="000000"/>
          <w:kern w:val="0"/>
          <w:sz w:val="28"/>
          <w:szCs w:val="32"/>
        </w:rPr>
        <w:t xml:space="preserve">8. </w:t>
      </w:r>
      <w:r w:rsidR="00C27536" w:rsidRPr="00B12B04">
        <w:rPr>
          <w:rFonts w:asciiTheme="minorEastAsia" w:eastAsiaTheme="minorEastAsia" w:hAnsiTheme="minorEastAsia" w:hint="eastAsia"/>
          <w:color w:val="000000"/>
          <w:kern w:val="0"/>
          <w:sz w:val="28"/>
          <w:szCs w:val="32"/>
        </w:rPr>
        <w:t>共同保险中出</w:t>
      </w:r>
      <w:proofErr w:type="gramStart"/>
      <w:r w:rsidR="00C27536" w:rsidRPr="00B12B04">
        <w:rPr>
          <w:rFonts w:asciiTheme="minorEastAsia" w:eastAsiaTheme="minorEastAsia" w:hAnsiTheme="minorEastAsia" w:hint="eastAsia"/>
          <w:color w:val="000000"/>
          <w:kern w:val="0"/>
          <w:sz w:val="28"/>
          <w:szCs w:val="32"/>
        </w:rPr>
        <w:t>单公司</w:t>
      </w:r>
      <w:proofErr w:type="gramEnd"/>
      <w:r w:rsidR="00C27536" w:rsidRPr="00B12B04">
        <w:rPr>
          <w:rFonts w:asciiTheme="minorEastAsia" w:eastAsiaTheme="minorEastAsia" w:hAnsiTheme="minorEastAsia" w:hint="eastAsia"/>
          <w:color w:val="000000"/>
          <w:kern w:val="0"/>
          <w:sz w:val="28"/>
          <w:szCs w:val="32"/>
        </w:rPr>
        <w:t>违法对外赔付的赔偿责任——</w:t>
      </w:r>
      <w:r w:rsidR="006D43AD" w:rsidRPr="00B12B04">
        <w:rPr>
          <w:rFonts w:asciiTheme="minorEastAsia" w:eastAsiaTheme="minorEastAsia" w:hAnsiTheme="minorEastAsia" w:hint="eastAsia"/>
          <w:color w:val="000000"/>
          <w:kern w:val="0"/>
          <w:sz w:val="28"/>
          <w:szCs w:val="32"/>
        </w:rPr>
        <w:t>上诉人中国人民财产保险股份有限公司上海市分公司与被上诉人</w:t>
      </w:r>
      <w:r w:rsidR="000A3D79" w:rsidRPr="00B12B04">
        <w:rPr>
          <w:rFonts w:asciiTheme="minorEastAsia" w:eastAsiaTheme="minorEastAsia" w:hAnsiTheme="minorEastAsia" w:hint="eastAsia"/>
          <w:color w:val="000000"/>
          <w:kern w:val="0"/>
          <w:sz w:val="28"/>
          <w:szCs w:val="32"/>
        </w:rPr>
        <w:t>中国平安财产保险股份有限公司上海分公司</w:t>
      </w:r>
      <w:r w:rsidR="00625A4D" w:rsidRPr="00B12B04">
        <w:rPr>
          <w:rFonts w:asciiTheme="minorEastAsia" w:eastAsiaTheme="minorEastAsia" w:hAnsiTheme="minorEastAsia" w:hint="eastAsia"/>
          <w:color w:val="000000"/>
          <w:kern w:val="0"/>
          <w:sz w:val="28"/>
          <w:szCs w:val="32"/>
        </w:rPr>
        <w:t>责任保险合同纠纷</w:t>
      </w:r>
      <w:r w:rsidRPr="00B12B04">
        <w:rPr>
          <w:rFonts w:asciiTheme="minorEastAsia" w:eastAsiaTheme="minorEastAsia" w:hAnsiTheme="minorEastAsia" w:hint="eastAsia"/>
          <w:color w:val="000000"/>
          <w:kern w:val="0"/>
          <w:sz w:val="28"/>
          <w:szCs w:val="32"/>
        </w:rPr>
        <w:t>案</w:t>
      </w:r>
    </w:p>
    <w:p w:rsidR="00B15967" w:rsidRPr="00B12B04" w:rsidRDefault="00625A4D" w:rsidP="000A7638">
      <w:pPr>
        <w:widowControl/>
        <w:spacing w:line="560" w:lineRule="exact"/>
        <w:rPr>
          <w:rFonts w:asciiTheme="minorEastAsia" w:eastAsiaTheme="minorEastAsia" w:hAnsiTheme="minorEastAsia"/>
          <w:color w:val="000000"/>
          <w:sz w:val="28"/>
          <w:szCs w:val="32"/>
        </w:rPr>
      </w:pPr>
      <w:r w:rsidRPr="00B12B04">
        <w:rPr>
          <w:rFonts w:asciiTheme="minorEastAsia" w:eastAsiaTheme="minorEastAsia" w:hAnsiTheme="minorEastAsia" w:hint="eastAsia"/>
          <w:color w:val="000000"/>
          <w:sz w:val="28"/>
          <w:szCs w:val="32"/>
        </w:rPr>
        <w:t xml:space="preserve">9. </w:t>
      </w:r>
      <w:r w:rsidR="00C27536" w:rsidRPr="00B12B04">
        <w:rPr>
          <w:rFonts w:asciiTheme="minorEastAsia" w:eastAsiaTheme="minorEastAsia" w:hAnsiTheme="minorEastAsia" w:hint="eastAsia"/>
          <w:color w:val="000000"/>
          <w:sz w:val="28"/>
          <w:szCs w:val="32"/>
        </w:rPr>
        <w:t>期货公司强行平仓权的行使及强行平仓损失的承担——</w:t>
      </w:r>
      <w:r w:rsidR="000A3D79" w:rsidRPr="00B12B04">
        <w:rPr>
          <w:rFonts w:asciiTheme="minorEastAsia" w:eastAsiaTheme="minorEastAsia" w:hAnsiTheme="minorEastAsia" w:hint="eastAsia"/>
          <w:color w:val="000000"/>
          <w:sz w:val="28"/>
          <w:szCs w:val="32"/>
        </w:rPr>
        <w:t>光大期货有限公司</w:t>
      </w:r>
      <w:r w:rsidRPr="00B12B04">
        <w:rPr>
          <w:rFonts w:asciiTheme="minorEastAsia" w:eastAsiaTheme="minorEastAsia" w:hAnsiTheme="minorEastAsia" w:hint="eastAsia"/>
          <w:color w:val="000000"/>
          <w:sz w:val="28"/>
          <w:szCs w:val="32"/>
        </w:rPr>
        <w:t>诉鲍某明期货强行平仓纠纷案</w:t>
      </w:r>
    </w:p>
    <w:p w:rsidR="00625A4D" w:rsidRPr="00B12B04" w:rsidRDefault="00625A4D" w:rsidP="000A7638">
      <w:pPr>
        <w:widowControl/>
        <w:spacing w:line="560" w:lineRule="exact"/>
        <w:rPr>
          <w:rFonts w:asciiTheme="minorEastAsia" w:eastAsiaTheme="minorEastAsia" w:hAnsiTheme="minorEastAsia"/>
          <w:color w:val="000000"/>
          <w:kern w:val="0"/>
          <w:sz w:val="28"/>
          <w:szCs w:val="32"/>
        </w:rPr>
      </w:pPr>
      <w:r w:rsidRPr="00B12B04">
        <w:rPr>
          <w:rFonts w:asciiTheme="minorEastAsia" w:eastAsiaTheme="minorEastAsia" w:hAnsiTheme="minorEastAsia" w:hint="eastAsia"/>
          <w:color w:val="000000"/>
          <w:kern w:val="0"/>
          <w:sz w:val="28"/>
          <w:szCs w:val="32"/>
        </w:rPr>
        <w:t xml:space="preserve">10. </w:t>
      </w:r>
      <w:r w:rsidR="00FE4032" w:rsidRPr="00B12B04">
        <w:rPr>
          <w:rFonts w:asciiTheme="minorEastAsia" w:eastAsiaTheme="minorEastAsia" w:hAnsiTheme="minorEastAsia" w:hint="eastAsia"/>
          <w:color w:val="000000"/>
          <w:kern w:val="0"/>
          <w:sz w:val="28"/>
          <w:szCs w:val="32"/>
        </w:rPr>
        <w:t>信用卡收单机构与发卡行之间构成资金清算合同法律关系并据此承担相应合同义务——</w:t>
      </w:r>
      <w:r w:rsidR="000A3D79" w:rsidRPr="00B12B04">
        <w:rPr>
          <w:rFonts w:asciiTheme="minorEastAsia" w:eastAsiaTheme="minorEastAsia" w:hAnsiTheme="minorEastAsia" w:hint="eastAsia"/>
          <w:color w:val="000000"/>
          <w:kern w:val="0"/>
          <w:sz w:val="28"/>
          <w:szCs w:val="32"/>
        </w:rPr>
        <w:t>上诉人卡</w:t>
      </w:r>
      <w:proofErr w:type="gramStart"/>
      <w:r w:rsidR="000A3D79" w:rsidRPr="00B12B04">
        <w:rPr>
          <w:rFonts w:asciiTheme="minorEastAsia" w:eastAsiaTheme="minorEastAsia" w:hAnsiTheme="minorEastAsia" w:hint="eastAsia"/>
          <w:color w:val="000000"/>
          <w:kern w:val="0"/>
          <w:sz w:val="28"/>
          <w:szCs w:val="32"/>
        </w:rPr>
        <w:t>友支付</w:t>
      </w:r>
      <w:proofErr w:type="gramEnd"/>
      <w:r w:rsidR="000A3D79" w:rsidRPr="00B12B04">
        <w:rPr>
          <w:rFonts w:asciiTheme="minorEastAsia" w:eastAsiaTheme="minorEastAsia" w:hAnsiTheme="minorEastAsia" w:hint="eastAsia"/>
          <w:color w:val="000000"/>
          <w:kern w:val="0"/>
          <w:sz w:val="28"/>
          <w:szCs w:val="32"/>
        </w:rPr>
        <w:t>服务有限公司与被上诉人交通银行</w:t>
      </w:r>
      <w:r w:rsidR="00DF10E9" w:rsidRPr="00B12B04">
        <w:rPr>
          <w:rFonts w:asciiTheme="minorEastAsia" w:eastAsiaTheme="minorEastAsia" w:hAnsiTheme="minorEastAsia" w:hint="eastAsia"/>
          <w:color w:val="000000"/>
          <w:kern w:val="0"/>
          <w:sz w:val="28"/>
          <w:szCs w:val="32"/>
        </w:rPr>
        <w:t>股份</w:t>
      </w:r>
      <w:r w:rsidR="000A3D79" w:rsidRPr="00B12B04">
        <w:rPr>
          <w:rFonts w:asciiTheme="minorEastAsia" w:eastAsiaTheme="minorEastAsia" w:hAnsiTheme="minorEastAsia" w:hint="eastAsia"/>
          <w:color w:val="000000"/>
          <w:kern w:val="0"/>
          <w:sz w:val="28"/>
          <w:szCs w:val="32"/>
        </w:rPr>
        <w:t>有限公司太平洋信用卡中心</w:t>
      </w:r>
      <w:r w:rsidRPr="00B12B04">
        <w:rPr>
          <w:rFonts w:asciiTheme="minorEastAsia" w:eastAsiaTheme="minorEastAsia" w:hAnsiTheme="minorEastAsia" w:hint="eastAsia"/>
          <w:color w:val="000000"/>
          <w:kern w:val="0"/>
          <w:sz w:val="28"/>
          <w:szCs w:val="32"/>
        </w:rPr>
        <w:t>其他所有权纠纷案</w:t>
      </w:r>
    </w:p>
    <w:p w:rsidR="000A3D79" w:rsidRPr="00B12B04" w:rsidRDefault="000A3D79">
      <w:pPr>
        <w:widowControl/>
        <w:jc w:val="left"/>
        <w:rPr>
          <w:rFonts w:ascii="黑体" w:eastAsia="黑体" w:hAnsi="黑体" w:cs="宋体"/>
          <w:b/>
          <w:bCs/>
          <w:color w:val="000000"/>
          <w:spacing w:val="-6"/>
          <w:kern w:val="0"/>
          <w:sz w:val="32"/>
          <w:szCs w:val="36"/>
        </w:rPr>
      </w:pPr>
      <w:r w:rsidRPr="00B12B04">
        <w:rPr>
          <w:rFonts w:ascii="黑体" w:eastAsia="黑体" w:hAnsi="黑体" w:cs="宋体"/>
          <w:b/>
          <w:bCs/>
          <w:color w:val="000000"/>
          <w:spacing w:val="-6"/>
          <w:kern w:val="0"/>
          <w:sz w:val="32"/>
          <w:szCs w:val="36"/>
        </w:rPr>
        <w:br w:type="page"/>
      </w:r>
    </w:p>
    <w:p w:rsidR="007002AD" w:rsidRPr="00EE37FD" w:rsidRDefault="007002AD" w:rsidP="000A7638">
      <w:pPr>
        <w:adjustRightInd w:val="0"/>
        <w:spacing w:line="560" w:lineRule="exact"/>
        <w:jc w:val="center"/>
        <w:rPr>
          <w:rFonts w:ascii="黑体" w:eastAsia="黑体" w:hAnsi="黑体" w:cs="宋体"/>
          <w:bCs/>
          <w:color w:val="000000"/>
          <w:spacing w:val="-6"/>
          <w:kern w:val="0"/>
          <w:sz w:val="32"/>
          <w:szCs w:val="36"/>
        </w:rPr>
      </w:pPr>
      <w:r w:rsidRPr="00EE37FD">
        <w:rPr>
          <w:rFonts w:ascii="黑体" w:eastAsia="黑体" w:hAnsi="黑体" w:cs="宋体" w:hint="eastAsia"/>
          <w:bCs/>
          <w:color w:val="000000"/>
          <w:spacing w:val="-6"/>
          <w:kern w:val="0"/>
          <w:sz w:val="32"/>
          <w:szCs w:val="36"/>
        </w:rPr>
        <w:lastRenderedPageBreak/>
        <w:t>基于“多因子量化模型”精确核定证券虚假陈述投资者损失</w:t>
      </w:r>
    </w:p>
    <w:p w:rsidR="007002AD" w:rsidRPr="00B12B04" w:rsidRDefault="007002AD" w:rsidP="000A7638">
      <w:pPr>
        <w:spacing w:line="560" w:lineRule="exact"/>
        <w:jc w:val="center"/>
        <w:rPr>
          <w:rFonts w:asciiTheme="minorEastAsia" w:eastAsiaTheme="minorEastAsia" w:hAnsiTheme="minorEastAsia"/>
          <w:sz w:val="28"/>
          <w:szCs w:val="32"/>
        </w:rPr>
      </w:pPr>
      <w:r w:rsidRPr="00B12B04">
        <w:rPr>
          <w:rFonts w:asciiTheme="minorEastAsia" w:eastAsiaTheme="minorEastAsia" w:hAnsiTheme="minorEastAsia" w:hint="eastAsia"/>
          <w:sz w:val="28"/>
          <w:szCs w:val="32"/>
        </w:rPr>
        <w:t>——</w:t>
      </w:r>
      <w:r w:rsidR="00312500" w:rsidRPr="00B12B04">
        <w:rPr>
          <w:rFonts w:asciiTheme="minorEastAsia" w:eastAsiaTheme="minorEastAsia" w:hAnsiTheme="minorEastAsia" w:hint="eastAsia"/>
          <w:sz w:val="28"/>
          <w:szCs w:val="32"/>
        </w:rPr>
        <w:t>许某鑫等诉</w:t>
      </w:r>
      <w:r w:rsidR="00245558" w:rsidRPr="00B12B04">
        <w:rPr>
          <w:rFonts w:asciiTheme="minorEastAsia" w:eastAsiaTheme="minorEastAsia" w:hAnsiTheme="minorEastAsia" w:hint="eastAsia"/>
          <w:sz w:val="28"/>
          <w:szCs w:val="32"/>
        </w:rPr>
        <w:t>上海普天邮通科技股份有限公司</w:t>
      </w:r>
      <w:r w:rsidRPr="00B12B04">
        <w:rPr>
          <w:rFonts w:asciiTheme="minorEastAsia" w:eastAsiaTheme="minorEastAsia" w:hAnsiTheme="minorEastAsia" w:hint="eastAsia"/>
          <w:sz w:val="28"/>
          <w:szCs w:val="32"/>
        </w:rPr>
        <w:t>证券虚假陈述责任纠纷案</w:t>
      </w:r>
    </w:p>
    <w:p w:rsidR="007002AD" w:rsidRPr="00F86CF1" w:rsidRDefault="007002AD" w:rsidP="000A7638">
      <w:pPr>
        <w:spacing w:line="560" w:lineRule="exact"/>
        <w:jc w:val="center"/>
        <w:rPr>
          <w:rFonts w:ascii="仿宋_GB2312" w:eastAsia="仿宋_GB2312" w:hAnsi="Calibri"/>
          <w:sz w:val="32"/>
          <w:szCs w:val="32"/>
        </w:rPr>
      </w:pPr>
    </w:p>
    <w:p w:rsidR="0030553D" w:rsidRPr="007002AD" w:rsidRDefault="00B167A5" w:rsidP="000A7638">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w:t>
      </w:r>
      <w:r w:rsidR="0030553D">
        <w:rPr>
          <w:rFonts w:ascii="黑体" w:eastAsia="黑体" w:hAnsi="黑体" w:hint="eastAsia"/>
          <w:sz w:val="32"/>
          <w:szCs w:val="32"/>
        </w:rPr>
        <w:t>基本案情</w:t>
      </w:r>
      <w:r>
        <w:rPr>
          <w:rFonts w:ascii="黑体" w:eastAsia="黑体" w:hAnsi="黑体" w:hint="eastAsia"/>
          <w:sz w:val="32"/>
          <w:szCs w:val="32"/>
        </w:rPr>
        <w:t>】</w:t>
      </w:r>
    </w:p>
    <w:p w:rsidR="00EF1B98" w:rsidRPr="00B12B04" w:rsidRDefault="00245558" w:rsidP="00680327">
      <w:pPr>
        <w:spacing w:line="560" w:lineRule="exact"/>
        <w:ind w:firstLine="564"/>
        <w:contextualSpacing/>
        <w:rPr>
          <w:rFonts w:asciiTheme="minorEastAsia" w:eastAsiaTheme="minorEastAsia" w:hAnsiTheme="minorEastAsia" w:cs="宋体"/>
          <w:color w:val="000000"/>
          <w:kern w:val="0"/>
          <w:sz w:val="28"/>
          <w:szCs w:val="32"/>
        </w:rPr>
      </w:pPr>
      <w:r w:rsidRPr="00B12B04">
        <w:rPr>
          <w:rFonts w:asciiTheme="minorEastAsia" w:eastAsiaTheme="minorEastAsia" w:hAnsiTheme="minorEastAsia" w:hint="eastAsia"/>
          <w:sz w:val="28"/>
          <w:szCs w:val="32"/>
        </w:rPr>
        <w:t>上海普天邮通科技股份有限公司（以下简称普天公司）</w:t>
      </w:r>
      <w:r w:rsidR="00E00252" w:rsidRPr="00B12B04">
        <w:rPr>
          <w:rFonts w:asciiTheme="minorEastAsia" w:eastAsiaTheme="minorEastAsia" w:hAnsiTheme="minorEastAsia" w:hint="eastAsia"/>
          <w:sz w:val="28"/>
          <w:szCs w:val="32"/>
        </w:rPr>
        <w:t>系于1993年10月至2019年5月期间在上海证券交易所上市交易的公司，于2019年5月23日被摘牌，股票终止上市。</w:t>
      </w:r>
      <w:r w:rsidR="00312500" w:rsidRPr="00B12B04">
        <w:rPr>
          <w:rFonts w:asciiTheme="minorEastAsia" w:eastAsiaTheme="minorEastAsia" w:hAnsiTheme="minorEastAsia" w:cs="宋体" w:hint="eastAsia"/>
          <w:color w:val="000000"/>
          <w:kern w:val="0"/>
          <w:sz w:val="28"/>
          <w:szCs w:val="32"/>
        </w:rPr>
        <w:t>2017年1月19日，</w:t>
      </w:r>
      <w:r w:rsidR="00570F84" w:rsidRPr="00B12B04">
        <w:rPr>
          <w:rFonts w:asciiTheme="minorEastAsia" w:eastAsiaTheme="minorEastAsia" w:hAnsiTheme="minorEastAsia" w:cs="宋体" w:hint="eastAsia"/>
          <w:color w:val="000000"/>
          <w:kern w:val="0"/>
          <w:sz w:val="28"/>
          <w:szCs w:val="32"/>
        </w:rPr>
        <w:t>普天公司</w:t>
      </w:r>
      <w:r w:rsidR="00312500" w:rsidRPr="00B12B04">
        <w:rPr>
          <w:rFonts w:asciiTheme="minorEastAsia" w:eastAsiaTheme="minorEastAsia" w:hAnsiTheme="minorEastAsia" w:cs="宋体" w:hint="eastAsia"/>
          <w:color w:val="000000"/>
          <w:kern w:val="0"/>
          <w:sz w:val="28"/>
          <w:szCs w:val="32"/>
        </w:rPr>
        <w:t>发布</w:t>
      </w:r>
      <w:r w:rsidR="001A00D4" w:rsidRPr="00B12B04">
        <w:rPr>
          <w:rFonts w:asciiTheme="minorEastAsia" w:eastAsiaTheme="minorEastAsia" w:hAnsiTheme="minorEastAsia" w:cs="宋体" w:hint="eastAsia"/>
          <w:color w:val="000000"/>
          <w:kern w:val="0"/>
          <w:sz w:val="28"/>
          <w:szCs w:val="32"/>
        </w:rPr>
        <w:t>公告称收到</w:t>
      </w:r>
      <w:r w:rsidR="008C64F5" w:rsidRPr="00B12B04">
        <w:rPr>
          <w:rFonts w:asciiTheme="minorEastAsia" w:eastAsiaTheme="minorEastAsia" w:hAnsiTheme="minorEastAsia" w:cs="宋体" w:hint="eastAsia"/>
          <w:color w:val="000000"/>
          <w:kern w:val="0"/>
          <w:sz w:val="28"/>
          <w:szCs w:val="32"/>
        </w:rPr>
        <w:t>中国证券业监督管理委员会</w:t>
      </w:r>
      <w:r w:rsidR="00312500" w:rsidRPr="00B12B04">
        <w:rPr>
          <w:rFonts w:asciiTheme="minorEastAsia" w:eastAsiaTheme="minorEastAsia" w:hAnsiTheme="minorEastAsia" w:cs="宋体" w:hint="eastAsia"/>
          <w:color w:val="000000"/>
          <w:kern w:val="0"/>
          <w:sz w:val="28"/>
          <w:szCs w:val="32"/>
        </w:rPr>
        <w:t>立案调查</w:t>
      </w:r>
      <w:r w:rsidR="00353D5D" w:rsidRPr="00B12B04">
        <w:rPr>
          <w:rFonts w:asciiTheme="minorEastAsia" w:eastAsiaTheme="minorEastAsia" w:hAnsiTheme="minorEastAsia" w:cs="宋体" w:hint="eastAsia"/>
          <w:color w:val="000000"/>
          <w:kern w:val="0"/>
          <w:sz w:val="28"/>
          <w:szCs w:val="32"/>
        </w:rPr>
        <w:t>通知书</w:t>
      </w:r>
      <w:r w:rsidR="001A00D4" w:rsidRPr="00B12B04">
        <w:rPr>
          <w:rFonts w:asciiTheme="minorEastAsia" w:eastAsiaTheme="minorEastAsia" w:hAnsiTheme="minorEastAsia" w:cs="宋体" w:hint="eastAsia"/>
          <w:color w:val="000000"/>
          <w:kern w:val="0"/>
          <w:sz w:val="28"/>
          <w:szCs w:val="32"/>
        </w:rPr>
        <w:t>。2018年1月10日，</w:t>
      </w:r>
      <w:r w:rsidR="00570F84" w:rsidRPr="00B12B04">
        <w:rPr>
          <w:rFonts w:asciiTheme="minorEastAsia" w:eastAsiaTheme="minorEastAsia" w:hAnsiTheme="minorEastAsia" w:cs="宋体" w:hint="eastAsia"/>
          <w:color w:val="000000"/>
          <w:kern w:val="0"/>
          <w:sz w:val="28"/>
          <w:szCs w:val="32"/>
        </w:rPr>
        <w:t>普天公司</w:t>
      </w:r>
      <w:r w:rsidR="001A00D4" w:rsidRPr="00B12B04">
        <w:rPr>
          <w:rFonts w:asciiTheme="minorEastAsia" w:eastAsiaTheme="minorEastAsia" w:hAnsiTheme="minorEastAsia" w:cs="宋体" w:hint="eastAsia"/>
          <w:color w:val="000000"/>
          <w:kern w:val="0"/>
          <w:sz w:val="28"/>
          <w:szCs w:val="32"/>
        </w:rPr>
        <w:t>发布</w:t>
      </w:r>
      <w:r w:rsidR="00353D5D" w:rsidRPr="00B12B04">
        <w:rPr>
          <w:rFonts w:asciiTheme="minorEastAsia" w:eastAsiaTheme="minorEastAsia" w:hAnsiTheme="minorEastAsia" w:cs="宋体" w:hint="eastAsia"/>
          <w:color w:val="000000"/>
          <w:kern w:val="0"/>
          <w:sz w:val="28"/>
          <w:szCs w:val="32"/>
        </w:rPr>
        <w:t>公告称</w:t>
      </w:r>
      <w:r w:rsidR="001A00D4" w:rsidRPr="00B12B04">
        <w:rPr>
          <w:rFonts w:asciiTheme="minorEastAsia" w:eastAsiaTheme="minorEastAsia" w:hAnsiTheme="minorEastAsia" w:cs="宋体" w:hint="eastAsia"/>
          <w:color w:val="000000"/>
          <w:kern w:val="0"/>
          <w:sz w:val="28"/>
          <w:szCs w:val="32"/>
        </w:rPr>
        <w:t>收到</w:t>
      </w:r>
      <w:r w:rsidR="008C64F5" w:rsidRPr="00B12B04">
        <w:rPr>
          <w:rFonts w:asciiTheme="minorEastAsia" w:eastAsiaTheme="minorEastAsia" w:hAnsiTheme="minorEastAsia" w:cs="宋体" w:hint="eastAsia"/>
          <w:color w:val="000000"/>
          <w:kern w:val="0"/>
          <w:sz w:val="28"/>
          <w:szCs w:val="32"/>
        </w:rPr>
        <w:t>中国证券业监督管理委员会上海监管局（以下简称上海证监局）</w:t>
      </w:r>
      <w:r w:rsidR="001A00D4" w:rsidRPr="00B12B04">
        <w:rPr>
          <w:rFonts w:asciiTheme="minorEastAsia" w:eastAsiaTheme="minorEastAsia" w:hAnsiTheme="minorEastAsia" w:cs="宋体" w:hint="eastAsia"/>
          <w:color w:val="000000"/>
          <w:kern w:val="0"/>
          <w:sz w:val="28"/>
          <w:szCs w:val="32"/>
        </w:rPr>
        <w:t>《行政处罚事先告知书》。</w:t>
      </w:r>
      <w:r w:rsidR="00353D5D" w:rsidRPr="00B12B04">
        <w:rPr>
          <w:rFonts w:asciiTheme="minorEastAsia" w:eastAsiaTheme="minorEastAsia" w:hAnsiTheme="minorEastAsia" w:cs="宋体" w:hint="eastAsia"/>
          <w:color w:val="000000"/>
          <w:kern w:val="0"/>
          <w:sz w:val="28"/>
          <w:szCs w:val="32"/>
        </w:rPr>
        <w:t>告知书载明</w:t>
      </w:r>
      <w:r w:rsidR="007706D6" w:rsidRPr="00B12B04">
        <w:rPr>
          <w:rFonts w:asciiTheme="minorEastAsia" w:eastAsiaTheme="minorEastAsia" w:hAnsiTheme="minorEastAsia" w:cs="宋体" w:hint="eastAsia"/>
          <w:color w:val="000000"/>
          <w:kern w:val="0"/>
          <w:sz w:val="28"/>
          <w:szCs w:val="32"/>
        </w:rPr>
        <w:t>，</w:t>
      </w:r>
      <w:r w:rsidR="00570F84" w:rsidRPr="00B12B04">
        <w:rPr>
          <w:rFonts w:asciiTheme="minorEastAsia" w:eastAsiaTheme="minorEastAsia" w:hAnsiTheme="minorEastAsia" w:cs="宋体" w:hint="eastAsia"/>
          <w:color w:val="000000"/>
          <w:kern w:val="0"/>
          <w:sz w:val="28"/>
          <w:szCs w:val="32"/>
        </w:rPr>
        <w:t>普天公司</w:t>
      </w:r>
      <w:r w:rsidR="007706D6" w:rsidRPr="00B12B04">
        <w:rPr>
          <w:rFonts w:asciiTheme="minorEastAsia" w:eastAsiaTheme="minorEastAsia" w:hAnsiTheme="minorEastAsia" w:cs="宋体" w:hint="eastAsia"/>
          <w:color w:val="000000"/>
          <w:kern w:val="0"/>
          <w:sz w:val="28"/>
          <w:szCs w:val="32"/>
        </w:rPr>
        <w:t>为弥补2014年度利润缺口，通过虚假贸易，</w:t>
      </w:r>
      <w:r w:rsidR="0038777B" w:rsidRPr="00B12B04">
        <w:rPr>
          <w:rFonts w:asciiTheme="minorEastAsia" w:eastAsiaTheme="minorEastAsia" w:hAnsiTheme="minorEastAsia" w:cs="宋体" w:hint="eastAsia"/>
          <w:color w:val="000000"/>
          <w:kern w:val="0"/>
          <w:sz w:val="28"/>
          <w:szCs w:val="32"/>
        </w:rPr>
        <w:t>虚增利润</w:t>
      </w:r>
      <w:proofErr w:type="gramStart"/>
      <w:r w:rsidR="0038777B" w:rsidRPr="00B12B04">
        <w:rPr>
          <w:rFonts w:asciiTheme="minorEastAsia" w:eastAsiaTheme="minorEastAsia" w:hAnsiTheme="minorEastAsia" w:cs="宋体" w:hint="eastAsia"/>
          <w:color w:val="000000"/>
          <w:kern w:val="0"/>
          <w:sz w:val="28"/>
          <w:szCs w:val="32"/>
        </w:rPr>
        <w:t>总额占</w:t>
      </w:r>
      <w:r w:rsidR="00570F84" w:rsidRPr="00B12B04">
        <w:rPr>
          <w:rFonts w:asciiTheme="minorEastAsia" w:eastAsiaTheme="minorEastAsia" w:hAnsiTheme="minorEastAsia" w:cs="宋体" w:hint="eastAsia"/>
          <w:color w:val="000000"/>
          <w:kern w:val="0"/>
          <w:sz w:val="28"/>
          <w:szCs w:val="32"/>
        </w:rPr>
        <w:t>普天</w:t>
      </w:r>
      <w:proofErr w:type="gramEnd"/>
      <w:r w:rsidR="00570F84" w:rsidRPr="00B12B04">
        <w:rPr>
          <w:rFonts w:asciiTheme="minorEastAsia" w:eastAsiaTheme="minorEastAsia" w:hAnsiTheme="minorEastAsia" w:cs="宋体" w:hint="eastAsia"/>
          <w:color w:val="000000"/>
          <w:kern w:val="0"/>
          <w:sz w:val="28"/>
          <w:szCs w:val="32"/>
        </w:rPr>
        <w:t>公司</w:t>
      </w:r>
      <w:r w:rsidR="0038777B" w:rsidRPr="00B12B04">
        <w:rPr>
          <w:rFonts w:asciiTheme="minorEastAsia" w:eastAsiaTheme="minorEastAsia" w:hAnsiTheme="minorEastAsia" w:cs="宋体" w:hint="eastAsia"/>
          <w:color w:val="000000"/>
          <w:kern w:val="0"/>
          <w:sz w:val="28"/>
          <w:szCs w:val="32"/>
        </w:rPr>
        <w:t>2014年度合并财务报表利润总额的73.68%</w:t>
      </w:r>
      <w:r w:rsidR="00353D5D" w:rsidRPr="00B12B04">
        <w:rPr>
          <w:rFonts w:asciiTheme="minorEastAsia" w:eastAsiaTheme="minorEastAsia" w:hAnsiTheme="minorEastAsia" w:cs="宋体" w:hint="eastAsia"/>
          <w:color w:val="000000"/>
          <w:kern w:val="0"/>
          <w:sz w:val="28"/>
          <w:szCs w:val="32"/>
        </w:rPr>
        <w:t>，其</w:t>
      </w:r>
      <w:r w:rsidR="0038777B" w:rsidRPr="00B12B04">
        <w:rPr>
          <w:rFonts w:asciiTheme="minorEastAsia" w:eastAsiaTheme="minorEastAsia" w:hAnsiTheme="minorEastAsia" w:cs="宋体" w:hint="eastAsia"/>
          <w:color w:val="000000"/>
          <w:kern w:val="0"/>
          <w:sz w:val="28"/>
          <w:szCs w:val="32"/>
        </w:rPr>
        <w:t>在</w:t>
      </w:r>
      <w:r w:rsidR="00353D5D" w:rsidRPr="00B12B04">
        <w:rPr>
          <w:rFonts w:asciiTheme="minorEastAsia" w:eastAsiaTheme="minorEastAsia" w:hAnsiTheme="minorEastAsia" w:cs="宋体" w:hint="eastAsia"/>
          <w:color w:val="000000"/>
          <w:kern w:val="0"/>
          <w:sz w:val="28"/>
          <w:szCs w:val="32"/>
        </w:rPr>
        <w:t>2015年3月21日发布的</w:t>
      </w:r>
      <w:r w:rsidR="0038777B" w:rsidRPr="00B12B04">
        <w:rPr>
          <w:rFonts w:asciiTheme="minorEastAsia" w:eastAsiaTheme="minorEastAsia" w:hAnsiTheme="minorEastAsia" w:cs="宋体" w:hint="eastAsia"/>
          <w:color w:val="000000"/>
          <w:kern w:val="0"/>
          <w:sz w:val="28"/>
          <w:szCs w:val="32"/>
        </w:rPr>
        <w:t>2014</w:t>
      </w:r>
      <w:r w:rsidR="004C1628" w:rsidRPr="00B12B04">
        <w:rPr>
          <w:rFonts w:asciiTheme="minorEastAsia" w:eastAsiaTheme="minorEastAsia" w:hAnsiTheme="minorEastAsia" w:cs="宋体" w:hint="eastAsia"/>
          <w:color w:val="000000"/>
          <w:kern w:val="0"/>
          <w:sz w:val="28"/>
          <w:szCs w:val="32"/>
        </w:rPr>
        <w:t>年年度报告中虚假披露的行为构成证券虚假陈述行为。</w:t>
      </w:r>
      <w:r w:rsidR="00570F84" w:rsidRPr="00B12B04">
        <w:rPr>
          <w:rFonts w:asciiTheme="minorEastAsia" w:eastAsiaTheme="minorEastAsia" w:hAnsiTheme="minorEastAsia" w:cs="宋体" w:hint="eastAsia"/>
          <w:color w:val="000000"/>
          <w:kern w:val="0"/>
          <w:sz w:val="28"/>
          <w:szCs w:val="32"/>
        </w:rPr>
        <w:t>许某鑫等</w:t>
      </w:r>
      <w:r w:rsidR="00353D5D" w:rsidRPr="00B12B04">
        <w:rPr>
          <w:rFonts w:asciiTheme="minorEastAsia" w:eastAsiaTheme="minorEastAsia" w:hAnsiTheme="minorEastAsia" w:cs="宋体" w:hint="eastAsia"/>
          <w:color w:val="000000"/>
          <w:kern w:val="0"/>
          <w:sz w:val="28"/>
          <w:szCs w:val="32"/>
        </w:rPr>
        <w:t>投资者于</w:t>
      </w:r>
      <w:r w:rsidR="0038777B" w:rsidRPr="00B12B04">
        <w:rPr>
          <w:rFonts w:asciiTheme="minorEastAsia" w:eastAsiaTheme="minorEastAsia" w:hAnsiTheme="minorEastAsia" w:cs="宋体" w:hint="eastAsia"/>
          <w:color w:val="000000"/>
          <w:kern w:val="0"/>
          <w:sz w:val="28"/>
          <w:szCs w:val="32"/>
        </w:rPr>
        <w:t>2015年3月21日</w:t>
      </w:r>
      <w:r w:rsidR="00353D5D" w:rsidRPr="00B12B04">
        <w:rPr>
          <w:rFonts w:asciiTheme="minorEastAsia" w:eastAsiaTheme="minorEastAsia" w:hAnsiTheme="minorEastAsia" w:cs="宋体" w:hint="eastAsia"/>
          <w:color w:val="000000"/>
          <w:kern w:val="0"/>
          <w:sz w:val="28"/>
          <w:szCs w:val="32"/>
        </w:rPr>
        <w:t>后</w:t>
      </w:r>
      <w:r w:rsidR="0038777B" w:rsidRPr="00B12B04">
        <w:rPr>
          <w:rFonts w:asciiTheme="minorEastAsia" w:eastAsiaTheme="minorEastAsia" w:hAnsiTheme="minorEastAsia" w:cs="宋体" w:hint="eastAsia"/>
          <w:color w:val="000000"/>
          <w:kern w:val="0"/>
          <w:sz w:val="28"/>
          <w:szCs w:val="32"/>
        </w:rPr>
        <w:t>买入</w:t>
      </w:r>
      <w:r w:rsidR="00570F84" w:rsidRPr="00B12B04">
        <w:rPr>
          <w:rFonts w:asciiTheme="minorEastAsia" w:eastAsiaTheme="minorEastAsia" w:hAnsiTheme="minorEastAsia" w:cs="宋体" w:hint="eastAsia"/>
          <w:color w:val="000000"/>
          <w:kern w:val="0"/>
          <w:sz w:val="28"/>
          <w:szCs w:val="32"/>
        </w:rPr>
        <w:t>普天公司</w:t>
      </w:r>
      <w:r w:rsidR="0038777B" w:rsidRPr="00B12B04">
        <w:rPr>
          <w:rFonts w:asciiTheme="minorEastAsia" w:eastAsiaTheme="minorEastAsia" w:hAnsiTheme="minorEastAsia" w:cs="宋体" w:hint="eastAsia"/>
          <w:color w:val="000000"/>
          <w:kern w:val="0"/>
          <w:sz w:val="28"/>
          <w:szCs w:val="32"/>
        </w:rPr>
        <w:t>股票，其根据《行政处罚决定书》认定的相关事实起诉</w:t>
      </w:r>
      <w:r w:rsidR="00570F84" w:rsidRPr="00B12B04">
        <w:rPr>
          <w:rFonts w:asciiTheme="minorEastAsia" w:eastAsiaTheme="minorEastAsia" w:hAnsiTheme="minorEastAsia" w:cs="宋体" w:hint="eastAsia"/>
          <w:color w:val="000000"/>
          <w:kern w:val="0"/>
          <w:sz w:val="28"/>
          <w:szCs w:val="32"/>
        </w:rPr>
        <w:t>普天公司</w:t>
      </w:r>
      <w:r w:rsidR="0038777B" w:rsidRPr="00B12B04">
        <w:rPr>
          <w:rFonts w:asciiTheme="minorEastAsia" w:eastAsiaTheme="minorEastAsia" w:hAnsiTheme="minorEastAsia" w:cs="宋体" w:hint="eastAsia"/>
          <w:color w:val="000000"/>
          <w:kern w:val="0"/>
          <w:sz w:val="28"/>
          <w:szCs w:val="32"/>
        </w:rPr>
        <w:t>，要求其赔偿因信息披露违规行为所造成的损失。</w:t>
      </w:r>
      <w:r w:rsidR="0010397C" w:rsidRPr="00B12B04">
        <w:rPr>
          <w:rFonts w:asciiTheme="minorEastAsia" w:eastAsiaTheme="minorEastAsia" w:hAnsiTheme="minorEastAsia" w:cs="宋体" w:hint="eastAsia"/>
          <w:color w:val="000000"/>
          <w:kern w:val="0"/>
          <w:sz w:val="28"/>
          <w:szCs w:val="32"/>
        </w:rPr>
        <w:t>本案审理过程中，上海交通大学中国金融研究院接受上海金融法院委托，于2020年2月19日出具《损失核定意见书》，对投资者因</w:t>
      </w:r>
      <w:r w:rsidR="00570F84" w:rsidRPr="00B12B04">
        <w:rPr>
          <w:rFonts w:asciiTheme="minorEastAsia" w:eastAsiaTheme="minorEastAsia" w:hAnsiTheme="minorEastAsia" w:cs="宋体" w:hint="eastAsia"/>
          <w:color w:val="000000"/>
          <w:kern w:val="0"/>
          <w:sz w:val="28"/>
          <w:szCs w:val="32"/>
        </w:rPr>
        <w:t>普天公司</w:t>
      </w:r>
      <w:r w:rsidR="0010397C" w:rsidRPr="00B12B04">
        <w:rPr>
          <w:rFonts w:asciiTheme="minorEastAsia" w:eastAsiaTheme="minorEastAsia" w:hAnsiTheme="minorEastAsia" w:cs="宋体" w:hint="eastAsia"/>
          <w:color w:val="000000"/>
          <w:kern w:val="0"/>
          <w:sz w:val="28"/>
          <w:szCs w:val="32"/>
        </w:rPr>
        <w:t>虚假陈述产生的投资差额损失进行了核定。</w:t>
      </w:r>
    </w:p>
    <w:p w:rsidR="004E5F6D" w:rsidRPr="00B12B04" w:rsidRDefault="008874F3" w:rsidP="00B12B04">
      <w:pPr>
        <w:adjustRightInd w:val="0"/>
        <w:snapToGrid w:val="0"/>
        <w:spacing w:line="560" w:lineRule="exact"/>
        <w:ind w:firstLineChars="200" w:firstLine="560"/>
        <w:rPr>
          <w:rFonts w:asciiTheme="minorEastAsia" w:eastAsiaTheme="minorEastAsia" w:hAnsiTheme="minorEastAsia"/>
          <w:sz w:val="28"/>
          <w:szCs w:val="32"/>
        </w:rPr>
      </w:pPr>
      <w:r w:rsidRPr="00B12B04">
        <w:rPr>
          <w:rFonts w:asciiTheme="minorEastAsia" w:eastAsiaTheme="minorEastAsia" w:hAnsiTheme="minorEastAsia" w:hint="eastAsia"/>
          <w:sz w:val="28"/>
          <w:szCs w:val="32"/>
        </w:rPr>
        <w:t>上海金融法院</w:t>
      </w:r>
      <w:r w:rsidR="00680327" w:rsidRPr="00B12B04">
        <w:rPr>
          <w:rFonts w:asciiTheme="minorEastAsia" w:eastAsiaTheme="minorEastAsia" w:hAnsiTheme="minorEastAsia" w:hint="eastAsia"/>
          <w:sz w:val="28"/>
          <w:szCs w:val="32"/>
        </w:rPr>
        <w:t>一审</w:t>
      </w:r>
      <w:r w:rsidRPr="00B12B04">
        <w:rPr>
          <w:rFonts w:asciiTheme="minorEastAsia" w:eastAsiaTheme="minorEastAsia" w:hAnsiTheme="minorEastAsia" w:hint="eastAsia"/>
          <w:sz w:val="28"/>
          <w:szCs w:val="32"/>
        </w:rPr>
        <w:t>判决</w:t>
      </w:r>
      <w:r w:rsidR="000D0773" w:rsidRPr="00B12B04">
        <w:rPr>
          <w:rFonts w:asciiTheme="minorEastAsia" w:eastAsiaTheme="minorEastAsia" w:hAnsiTheme="minorEastAsia" w:hint="eastAsia"/>
          <w:sz w:val="28"/>
          <w:szCs w:val="32"/>
        </w:rPr>
        <w:t>普天公司</w:t>
      </w:r>
      <w:r w:rsidR="004C1628" w:rsidRPr="00B12B04">
        <w:rPr>
          <w:rFonts w:asciiTheme="minorEastAsia" w:eastAsiaTheme="minorEastAsia" w:hAnsiTheme="minorEastAsia" w:hint="eastAsia"/>
          <w:sz w:val="28"/>
          <w:szCs w:val="32"/>
        </w:rPr>
        <w:t>分别向</w:t>
      </w:r>
      <w:r w:rsidR="004D7E57" w:rsidRPr="00B12B04">
        <w:rPr>
          <w:rFonts w:asciiTheme="minorEastAsia" w:eastAsiaTheme="minorEastAsia" w:hAnsiTheme="minorEastAsia" w:hint="eastAsia"/>
          <w:sz w:val="28"/>
          <w:szCs w:val="32"/>
        </w:rPr>
        <w:t>许某鑫、厉某宏、胡某、王某军</w:t>
      </w:r>
      <w:r w:rsidRPr="00B12B04">
        <w:rPr>
          <w:rFonts w:asciiTheme="minorEastAsia" w:eastAsiaTheme="minorEastAsia" w:hAnsiTheme="minorEastAsia" w:hint="eastAsia"/>
          <w:sz w:val="28"/>
          <w:szCs w:val="32"/>
        </w:rPr>
        <w:t>支付赔偿款7,571.17元</w:t>
      </w:r>
      <w:r w:rsidR="004D7E57" w:rsidRPr="00B12B04">
        <w:rPr>
          <w:rFonts w:asciiTheme="minorEastAsia" w:eastAsiaTheme="minorEastAsia" w:hAnsiTheme="minorEastAsia" w:hint="eastAsia"/>
          <w:sz w:val="28"/>
          <w:szCs w:val="32"/>
        </w:rPr>
        <w:t>、</w:t>
      </w:r>
      <w:r w:rsidRPr="00B12B04">
        <w:rPr>
          <w:rFonts w:asciiTheme="minorEastAsia" w:eastAsiaTheme="minorEastAsia" w:hAnsiTheme="minorEastAsia" w:hint="eastAsia"/>
          <w:sz w:val="28"/>
          <w:szCs w:val="32"/>
        </w:rPr>
        <w:t>9,406.06元</w:t>
      </w:r>
      <w:r w:rsidR="004D7E57" w:rsidRPr="00B12B04">
        <w:rPr>
          <w:rFonts w:asciiTheme="minorEastAsia" w:eastAsiaTheme="minorEastAsia" w:hAnsiTheme="minorEastAsia" w:hint="eastAsia"/>
          <w:sz w:val="28"/>
          <w:szCs w:val="32"/>
        </w:rPr>
        <w:t>、</w:t>
      </w:r>
      <w:r w:rsidRPr="00B12B04">
        <w:rPr>
          <w:rFonts w:asciiTheme="minorEastAsia" w:eastAsiaTheme="minorEastAsia" w:hAnsiTheme="minorEastAsia" w:hint="eastAsia"/>
          <w:sz w:val="28"/>
          <w:szCs w:val="32"/>
        </w:rPr>
        <w:t>10,301.83元</w:t>
      </w:r>
      <w:r w:rsidR="004D7E57" w:rsidRPr="00B12B04">
        <w:rPr>
          <w:rFonts w:asciiTheme="minorEastAsia" w:eastAsiaTheme="minorEastAsia" w:hAnsiTheme="minorEastAsia" w:hint="eastAsia"/>
          <w:sz w:val="28"/>
          <w:szCs w:val="32"/>
        </w:rPr>
        <w:t>、</w:t>
      </w:r>
      <w:r w:rsidRPr="00B12B04">
        <w:rPr>
          <w:rFonts w:asciiTheme="minorEastAsia" w:eastAsiaTheme="minorEastAsia" w:hAnsiTheme="minorEastAsia" w:hint="eastAsia"/>
          <w:sz w:val="28"/>
          <w:szCs w:val="32"/>
        </w:rPr>
        <w:t>54,727.19元。</w:t>
      </w:r>
      <w:r w:rsidR="00D54DA0" w:rsidRPr="00B12B04">
        <w:rPr>
          <w:rFonts w:asciiTheme="minorEastAsia" w:eastAsiaTheme="minorEastAsia" w:hAnsiTheme="minorEastAsia" w:hint="eastAsia"/>
          <w:sz w:val="28"/>
          <w:szCs w:val="32"/>
        </w:rPr>
        <w:t>宣判</w:t>
      </w:r>
      <w:r w:rsidRPr="00B12B04">
        <w:rPr>
          <w:rFonts w:asciiTheme="minorEastAsia" w:eastAsiaTheme="minorEastAsia" w:hAnsiTheme="minorEastAsia" w:hint="eastAsia"/>
          <w:sz w:val="28"/>
          <w:szCs w:val="32"/>
        </w:rPr>
        <w:t>后，</w:t>
      </w:r>
      <w:r w:rsidR="000D0773" w:rsidRPr="00B12B04">
        <w:rPr>
          <w:rFonts w:asciiTheme="minorEastAsia" w:eastAsiaTheme="minorEastAsia" w:hAnsiTheme="minorEastAsia" w:hint="eastAsia"/>
          <w:sz w:val="28"/>
          <w:szCs w:val="32"/>
        </w:rPr>
        <w:t>普天公司</w:t>
      </w:r>
      <w:r w:rsidRPr="00B12B04">
        <w:rPr>
          <w:rFonts w:asciiTheme="minorEastAsia" w:eastAsiaTheme="minorEastAsia" w:hAnsiTheme="minorEastAsia" w:hint="eastAsia"/>
          <w:sz w:val="28"/>
          <w:szCs w:val="32"/>
        </w:rPr>
        <w:t>提出上诉。上海市高级人民法院</w:t>
      </w:r>
      <w:r w:rsidR="00680327" w:rsidRPr="00B12B04">
        <w:rPr>
          <w:rFonts w:asciiTheme="minorEastAsia" w:eastAsiaTheme="minorEastAsia" w:hAnsiTheme="minorEastAsia" w:hint="eastAsia"/>
          <w:sz w:val="28"/>
          <w:szCs w:val="32"/>
        </w:rPr>
        <w:t>二审</w:t>
      </w:r>
      <w:r w:rsidRPr="00B12B04">
        <w:rPr>
          <w:rFonts w:asciiTheme="minorEastAsia" w:eastAsiaTheme="minorEastAsia" w:hAnsiTheme="minorEastAsia" w:hint="eastAsia"/>
          <w:sz w:val="28"/>
          <w:szCs w:val="32"/>
        </w:rPr>
        <w:t>判决驳回上诉，维持原判。</w:t>
      </w:r>
    </w:p>
    <w:p w:rsidR="00B12B04" w:rsidRDefault="00B167A5" w:rsidP="0056267F">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【专家点评】</w:t>
      </w:r>
    </w:p>
    <w:p w:rsidR="00B167A5" w:rsidRPr="00B12B04" w:rsidRDefault="00B167A5" w:rsidP="00B12B04">
      <w:pPr>
        <w:adjustRightInd w:val="0"/>
        <w:snapToGrid w:val="0"/>
        <w:spacing w:line="560" w:lineRule="exact"/>
        <w:ind w:firstLineChars="200" w:firstLine="560"/>
        <w:rPr>
          <w:rFonts w:ascii="黑体" w:eastAsia="黑体" w:hAnsi="黑体"/>
          <w:color w:val="000000"/>
          <w:kern w:val="0"/>
          <w:sz w:val="28"/>
          <w:szCs w:val="32"/>
        </w:rPr>
      </w:pPr>
      <w:r w:rsidRPr="00B12B04">
        <w:rPr>
          <w:rFonts w:ascii="黑体" w:eastAsia="黑体" w:hAnsi="黑体" w:hint="eastAsia"/>
          <w:color w:val="000000"/>
          <w:kern w:val="0"/>
          <w:sz w:val="28"/>
          <w:szCs w:val="32"/>
        </w:rPr>
        <w:t>点评人：朱宁，</w:t>
      </w:r>
      <w:r w:rsidRPr="00B12B04">
        <w:rPr>
          <w:rFonts w:ascii="黑体" w:eastAsia="黑体" w:hAnsi="黑体"/>
          <w:color w:val="000000"/>
          <w:kern w:val="0"/>
          <w:sz w:val="28"/>
          <w:szCs w:val="32"/>
        </w:rPr>
        <w:t>上海交通大学上海高级金融学院教授、副院长</w:t>
      </w:r>
    </w:p>
    <w:p w:rsidR="00B167A5" w:rsidRPr="00B12B04" w:rsidRDefault="00B167A5" w:rsidP="00B12B04">
      <w:pPr>
        <w:widowControl/>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审理与证券欺诈、信息披露相关的案件有两个难点，第一是确定违法行为事实和侵权行为的存在；第二是基于此估算投资者损失大小和违法者所需承担的法律责任和赔偿金额。</w:t>
      </w:r>
    </w:p>
    <w:p w:rsidR="00B167A5" w:rsidRPr="00B12B04" w:rsidRDefault="00B167A5" w:rsidP="00B12B04">
      <w:pPr>
        <w:widowControl/>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在全球范围内，这些难题</w:t>
      </w:r>
      <w:r w:rsidRPr="00B12B04">
        <w:rPr>
          <w:rFonts w:asciiTheme="minorEastAsia" w:eastAsiaTheme="minorEastAsia" w:hAnsiTheme="minorEastAsia" w:cs="宋体"/>
          <w:color w:val="000000"/>
          <w:kern w:val="0"/>
          <w:sz w:val="28"/>
          <w:szCs w:val="32"/>
        </w:rPr>
        <w:t>都对证券欺诈和信息披露相关案件</w:t>
      </w:r>
      <w:r w:rsidRPr="00B12B04">
        <w:rPr>
          <w:rFonts w:asciiTheme="minorEastAsia" w:eastAsiaTheme="minorEastAsia" w:hAnsiTheme="minorEastAsia" w:cs="宋体" w:hint="eastAsia"/>
          <w:color w:val="000000"/>
          <w:kern w:val="0"/>
          <w:sz w:val="28"/>
          <w:szCs w:val="32"/>
        </w:rPr>
        <w:t>的</w:t>
      </w:r>
      <w:r w:rsidRPr="00B12B04">
        <w:rPr>
          <w:rFonts w:asciiTheme="minorEastAsia" w:eastAsiaTheme="minorEastAsia" w:hAnsiTheme="minorEastAsia" w:cs="宋体"/>
          <w:color w:val="000000"/>
          <w:kern w:val="0"/>
          <w:sz w:val="28"/>
          <w:szCs w:val="32"/>
        </w:rPr>
        <w:t>审判</w:t>
      </w:r>
      <w:r w:rsidRPr="00B12B04">
        <w:rPr>
          <w:rFonts w:asciiTheme="minorEastAsia" w:eastAsiaTheme="minorEastAsia" w:hAnsiTheme="minorEastAsia" w:cs="宋体" w:hint="eastAsia"/>
          <w:color w:val="000000"/>
          <w:kern w:val="0"/>
          <w:sz w:val="28"/>
          <w:szCs w:val="32"/>
        </w:rPr>
        <w:t>提出了</w:t>
      </w:r>
      <w:r w:rsidRPr="00B12B04">
        <w:rPr>
          <w:rFonts w:asciiTheme="minorEastAsia" w:eastAsiaTheme="minorEastAsia" w:hAnsiTheme="minorEastAsia" w:cs="宋体"/>
          <w:color w:val="000000"/>
          <w:kern w:val="0"/>
          <w:sz w:val="28"/>
          <w:szCs w:val="32"/>
        </w:rPr>
        <w:t>挑战。根据金融市场理论和相关</w:t>
      </w:r>
      <w:r w:rsidRPr="00B12B04">
        <w:rPr>
          <w:rFonts w:asciiTheme="minorEastAsia" w:eastAsiaTheme="minorEastAsia" w:hAnsiTheme="minorEastAsia" w:cs="宋体" w:hint="eastAsia"/>
          <w:color w:val="000000"/>
          <w:kern w:val="0"/>
          <w:sz w:val="28"/>
          <w:szCs w:val="32"/>
        </w:rPr>
        <w:t>领域</w:t>
      </w:r>
      <w:r w:rsidRPr="00B12B04">
        <w:rPr>
          <w:rFonts w:asciiTheme="minorEastAsia" w:eastAsiaTheme="minorEastAsia" w:hAnsiTheme="minorEastAsia" w:cs="宋体"/>
          <w:color w:val="000000"/>
          <w:kern w:val="0"/>
          <w:sz w:val="28"/>
          <w:szCs w:val="32"/>
        </w:rPr>
        <w:t>的研究，可以对由于欺诈所产生的</w:t>
      </w:r>
      <w:r w:rsidRPr="00B12B04">
        <w:rPr>
          <w:rFonts w:asciiTheme="minorEastAsia" w:eastAsiaTheme="minorEastAsia" w:hAnsiTheme="minorEastAsia" w:cs="宋体" w:hint="eastAsia"/>
          <w:color w:val="000000"/>
          <w:kern w:val="0"/>
          <w:sz w:val="28"/>
          <w:szCs w:val="32"/>
        </w:rPr>
        <w:t>损害</w:t>
      </w:r>
      <w:r w:rsidRPr="00B12B04">
        <w:rPr>
          <w:rFonts w:asciiTheme="minorEastAsia" w:eastAsiaTheme="minorEastAsia" w:hAnsiTheme="minorEastAsia" w:cs="宋体"/>
          <w:color w:val="000000"/>
          <w:kern w:val="0"/>
          <w:sz w:val="28"/>
          <w:szCs w:val="32"/>
        </w:rPr>
        <w:t>进行相对准确的定量分析，在控制市场风险</w:t>
      </w:r>
      <w:r w:rsidRPr="00B12B04">
        <w:rPr>
          <w:rFonts w:asciiTheme="minorEastAsia" w:eastAsiaTheme="minorEastAsia" w:hAnsiTheme="minorEastAsia" w:cs="宋体" w:hint="eastAsia"/>
          <w:color w:val="000000"/>
          <w:kern w:val="0"/>
          <w:sz w:val="28"/>
          <w:szCs w:val="32"/>
        </w:rPr>
        <w:t>、</w:t>
      </w:r>
      <w:r w:rsidRPr="00B12B04">
        <w:rPr>
          <w:rFonts w:asciiTheme="minorEastAsia" w:eastAsiaTheme="minorEastAsia" w:hAnsiTheme="minorEastAsia" w:cs="宋体"/>
          <w:color w:val="000000"/>
          <w:kern w:val="0"/>
          <w:sz w:val="28"/>
          <w:szCs w:val="32"/>
        </w:rPr>
        <w:t>个股风险</w:t>
      </w:r>
      <w:r w:rsidRPr="00B12B04">
        <w:rPr>
          <w:rFonts w:asciiTheme="minorEastAsia" w:eastAsiaTheme="minorEastAsia" w:hAnsiTheme="minorEastAsia" w:cs="宋体" w:hint="eastAsia"/>
          <w:color w:val="000000"/>
          <w:kern w:val="0"/>
          <w:sz w:val="28"/>
          <w:szCs w:val="32"/>
        </w:rPr>
        <w:t>、</w:t>
      </w:r>
      <w:r w:rsidRPr="00B12B04">
        <w:rPr>
          <w:rFonts w:asciiTheme="minorEastAsia" w:eastAsiaTheme="minorEastAsia" w:hAnsiTheme="minorEastAsia" w:cs="宋体"/>
          <w:color w:val="000000"/>
          <w:kern w:val="0"/>
          <w:sz w:val="28"/>
          <w:szCs w:val="32"/>
        </w:rPr>
        <w:t>流动性风险和投资者行为选择的基础上，获得相应比较准确的投资者</w:t>
      </w:r>
      <w:r w:rsidRPr="00B12B04">
        <w:rPr>
          <w:rFonts w:asciiTheme="minorEastAsia" w:eastAsiaTheme="minorEastAsia" w:hAnsiTheme="minorEastAsia" w:cs="宋体" w:hint="eastAsia"/>
          <w:color w:val="000000"/>
          <w:kern w:val="0"/>
          <w:sz w:val="28"/>
          <w:szCs w:val="32"/>
        </w:rPr>
        <w:t>损失</w:t>
      </w:r>
      <w:r w:rsidRPr="00B12B04">
        <w:rPr>
          <w:rFonts w:asciiTheme="minorEastAsia" w:eastAsiaTheme="minorEastAsia" w:hAnsiTheme="minorEastAsia" w:cs="宋体"/>
          <w:color w:val="000000"/>
          <w:kern w:val="0"/>
          <w:sz w:val="28"/>
          <w:szCs w:val="32"/>
        </w:rPr>
        <w:t>和相关违法者所应当承担的法律责任</w:t>
      </w:r>
      <w:r w:rsidRPr="00B12B04">
        <w:rPr>
          <w:rFonts w:asciiTheme="minorEastAsia" w:eastAsiaTheme="minorEastAsia" w:hAnsiTheme="minorEastAsia" w:cs="宋体" w:hint="eastAsia"/>
          <w:color w:val="000000"/>
          <w:kern w:val="0"/>
          <w:sz w:val="28"/>
          <w:szCs w:val="32"/>
        </w:rPr>
        <w:t>范围。</w:t>
      </w:r>
    </w:p>
    <w:p w:rsidR="00B167A5" w:rsidRDefault="00B167A5" w:rsidP="00B12B04">
      <w:pPr>
        <w:widowControl/>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本案审理不但开辟了一个非常好的利用金融学研究和模型对证券欺诈信息披露造成的投资者损失进行计算的先例，而且对于鼓励司法审判和资本市场实践更加紧密的结合，</w:t>
      </w:r>
      <w:r w:rsidRPr="00B12B04">
        <w:rPr>
          <w:rFonts w:asciiTheme="minorEastAsia" w:eastAsiaTheme="minorEastAsia" w:hAnsiTheme="minorEastAsia" w:cs="宋体"/>
          <w:color w:val="000000"/>
          <w:kern w:val="0"/>
          <w:sz w:val="28"/>
          <w:szCs w:val="32"/>
        </w:rPr>
        <w:t xml:space="preserve"> 做出了非常重要的尝试</w:t>
      </w:r>
      <w:r w:rsidRPr="00B12B04">
        <w:rPr>
          <w:rFonts w:asciiTheme="minorEastAsia" w:eastAsiaTheme="minorEastAsia" w:hAnsiTheme="minorEastAsia" w:cs="宋体" w:hint="eastAsia"/>
          <w:color w:val="000000"/>
          <w:kern w:val="0"/>
          <w:sz w:val="28"/>
          <w:szCs w:val="32"/>
        </w:rPr>
        <w:t>和示范。</w:t>
      </w:r>
    </w:p>
    <w:p w:rsidR="00B12B04" w:rsidRPr="00B12B04" w:rsidRDefault="00B12B04" w:rsidP="00B12B04">
      <w:pPr>
        <w:widowControl/>
        <w:spacing w:line="560" w:lineRule="exact"/>
        <w:ind w:firstLineChars="200" w:firstLine="560"/>
        <w:rPr>
          <w:rFonts w:asciiTheme="minorEastAsia" w:eastAsiaTheme="minorEastAsia" w:hAnsiTheme="minorEastAsia" w:cs="宋体"/>
          <w:color w:val="000000"/>
          <w:kern w:val="0"/>
          <w:sz w:val="28"/>
          <w:szCs w:val="32"/>
        </w:rPr>
      </w:pPr>
    </w:p>
    <w:p w:rsidR="00B167A5" w:rsidRDefault="00B167A5" w:rsidP="00B167A5">
      <w:pPr>
        <w:widowControl/>
        <w:spacing w:line="560" w:lineRule="exact"/>
        <w:ind w:firstLineChars="200" w:firstLine="640"/>
        <w:rPr>
          <w:rFonts w:ascii="仿宋_GB2312" w:eastAsia="仿宋_GB2312" w:hAnsi="宋体"/>
          <w:color w:val="000000"/>
          <w:kern w:val="0"/>
          <w:sz w:val="32"/>
          <w:szCs w:val="32"/>
        </w:rPr>
      </w:pPr>
    </w:p>
    <w:p w:rsidR="002C2B26" w:rsidRDefault="002C2B26" w:rsidP="00B167A5">
      <w:pPr>
        <w:widowControl/>
        <w:spacing w:line="560" w:lineRule="exact"/>
        <w:ind w:firstLineChars="200" w:firstLine="640"/>
        <w:rPr>
          <w:rFonts w:ascii="仿宋_GB2312" w:eastAsia="仿宋_GB2312" w:hAnsi="宋体"/>
          <w:color w:val="000000"/>
          <w:kern w:val="0"/>
          <w:sz w:val="32"/>
          <w:szCs w:val="32"/>
        </w:rPr>
      </w:pPr>
    </w:p>
    <w:p w:rsidR="002C2B26" w:rsidRDefault="002C2B26" w:rsidP="00B167A5">
      <w:pPr>
        <w:widowControl/>
        <w:spacing w:line="560" w:lineRule="exact"/>
        <w:ind w:firstLineChars="200" w:firstLine="640"/>
        <w:rPr>
          <w:rFonts w:ascii="仿宋_GB2312" w:eastAsia="仿宋_GB2312" w:hAnsi="宋体"/>
          <w:color w:val="000000"/>
          <w:kern w:val="0"/>
          <w:sz w:val="32"/>
          <w:szCs w:val="32"/>
        </w:rPr>
      </w:pPr>
    </w:p>
    <w:p w:rsidR="002C2B26" w:rsidRDefault="002C2B26" w:rsidP="00B167A5">
      <w:pPr>
        <w:widowControl/>
        <w:spacing w:line="560" w:lineRule="exact"/>
        <w:ind w:firstLineChars="200" w:firstLine="640"/>
        <w:rPr>
          <w:rFonts w:ascii="仿宋_GB2312" w:eastAsia="仿宋_GB2312" w:hAnsi="宋体"/>
          <w:color w:val="000000"/>
          <w:kern w:val="0"/>
          <w:sz w:val="32"/>
          <w:szCs w:val="32"/>
        </w:rPr>
      </w:pPr>
    </w:p>
    <w:p w:rsidR="002C2B26" w:rsidRDefault="002C2B26" w:rsidP="00B167A5">
      <w:pPr>
        <w:widowControl/>
        <w:spacing w:line="560" w:lineRule="exact"/>
        <w:ind w:firstLineChars="200" w:firstLine="640"/>
        <w:rPr>
          <w:rFonts w:ascii="仿宋_GB2312" w:eastAsia="仿宋_GB2312" w:hAnsi="宋体"/>
          <w:color w:val="000000"/>
          <w:kern w:val="0"/>
          <w:sz w:val="32"/>
          <w:szCs w:val="32"/>
        </w:rPr>
      </w:pPr>
    </w:p>
    <w:p w:rsidR="002C2B26" w:rsidRDefault="002C2B26" w:rsidP="00B167A5">
      <w:pPr>
        <w:widowControl/>
        <w:spacing w:line="560" w:lineRule="exact"/>
        <w:ind w:firstLineChars="200" w:firstLine="640"/>
        <w:rPr>
          <w:rFonts w:ascii="仿宋_GB2312" w:eastAsia="仿宋_GB2312" w:hAnsi="宋体"/>
          <w:color w:val="000000"/>
          <w:kern w:val="0"/>
          <w:sz w:val="32"/>
          <w:szCs w:val="32"/>
        </w:rPr>
      </w:pPr>
    </w:p>
    <w:p w:rsidR="002C2B26" w:rsidRDefault="002C2B26" w:rsidP="00B167A5">
      <w:pPr>
        <w:widowControl/>
        <w:spacing w:line="560" w:lineRule="exact"/>
        <w:ind w:firstLineChars="200" w:firstLine="640"/>
        <w:rPr>
          <w:rFonts w:ascii="仿宋_GB2312" w:eastAsia="仿宋_GB2312" w:hAnsi="宋体"/>
          <w:color w:val="000000"/>
          <w:kern w:val="0"/>
          <w:sz w:val="32"/>
          <w:szCs w:val="32"/>
        </w:rPr>
      </w:pPr>
    </w:p>
    <w:p w:rsidR="002C2B26" w:rsidRPr="00C937A3" w:rsidRDefault="002C2B26" w:rsidP="00B167A5">
      <w:pPr>
        <w:widowControl/>
        <w:spacing w:line="560" w:lineRule="exact"/>
        <w:ind w:firstLineChars="200" w:firstLine="640"/>
        <w:rPr>
          <w:rFonts w:ascii="仿宋_GB2312" w:eastAsia="仿宋_GB2312" w:hAnsi="宋体"/>
          <w:color w:val="000000"/>
          <w:kern w:val="0"/>
          <w:sz w:val="32"/>
          <w:szCs w:val="32"/>
        </w:rPr>
      </w:pPr>
    </w:p>
    <w:p w:rsidR="00D82246" w:rsidRPr="00490E82" w:rsidRDefault="00D82246" w:rsidP="000A7638">
      <w:pPr>
        <w:widowControl/>
        <w:spacing w:line="560" w:lineRule="exact"/>
        <w:jc w:val="center"/>
        <w:rPr>
          <w:rFonts w:ascii="黑体" w:eastAsia="黑体" w:hAnsi="黑体"/>
          <w:color w:val="000000"/>
          <w:kern w:val="0"/>
          <w:sz w:val="32"/>
          <w:szCs w:val="36"/>
        </w:rPr>
      </w:pPr>
      <w:r w:rsidRPr="00490E82">
        <w:rPr>
          <w:rFonts w:ascii="黑体" w:eastAsia="黑体" w:hAnsi="黑体" w:hint="eastAsia"/>
          <w:color w:val="000000"/>
          <w:kern w:val="0"/>
          <w:sz w:val="32"/>
          <w:szCs w:val="36"/>
        </w:rPr>
        <w:t>涉</w:t>
      </w:r>
      <w:r w:rsidR="00D631D3" w:rsidRPr="00490E82">
        <w:rPr>
          <w:rFonts w:ascii="黑体" w:eastAsia="黑体" w:hAnsi="黑体" w:hint="eastAsia"/>
          <w:color w:val="000000"/>
          <w:kern w:val="0"/>
          <w:sz w:val="32"/>
          <w:szCs w:val="36"/>
        </w:rPr>
        <w:t>“</w:t>
      </w:r>
      <w:r w:rsidRPr="00490E82">
        <w:rPr>
          <w:rFonts w:ascii="黑体" w:eastAsia="黑体" w:hAnsi="黑体" w:hint="eastAsia"/>
          <w:color w:val="000000"/>
          <w:kern w:val="0"/>
          <w:sz w:val="32"/>
          <w:szCs w:val="36"/>
        </w:rPr>
        <w:t>维好协议</w:t>
      </w:r>
      <w:r w:rsidR="00D631D3" w:rsidRPr="00490E82">
        <w:rPr>
          <w:rFonts w:ascii="黑体" w:eastAsia="黑体" w:hAnsi="黑体" w:hint="eastAsia"/>
          <w:color w:val="000000"/>
          <w:kern w:val="0"/>
          <w:sz w:val="32"/>
          <w:szCs w:val="36"/>
        </w:rPr>
        <w:t>”</w:t>
      </w:r>
      <w:r w:rsidRPr="00490E82">
        <w:rPr>
          <w:rFonts w:ascii="黑体" w:eastAsia="黑体" w:hAnsi="黑体" w:hint="eastAsia"/>
          <w:color w:val="000000"/>
          <w:kern w:val="0"/>
          <w:sz w:val="32"/>
          <w:szCs w:val="36"/>
        </w:rPr>
        <w:t>香港特别行政区法院判决在内地申请认可和执行的认定标准</w:t>
      </w:r>
    </w:p>
    <w:p w:rsidR="00CE7F0B" w:rsidRPr="00490E82" w:rsidRDefault="00D82246" w:rsidP="000A7638">
      <w:pPr>
        <w:widowControl/>
        <w:spacing w:line="560" w:lineRule="exact"/>
        <w:jc w:val="center"/>
        <w:rPr>
          <w:rFonts w:asciiTheme="minorEastAsia" w:eastAsiaTheme="minorEastAsia" w:hAnsiTheme="minorEastAsia" w:cs="宋体"/>
          <w:color w:val="000000"/>
          <w:kern w:val="0"/>
          <w:sz w:val="28"/>
          <w:szCs w:val="32"/>
        </w:rPr>
      </w:pPr>
      <w:r>
        <w:rPr>
          <w:rFonts w:ascii="仿宋_GB2312" w:eastAsia="仿宋_GB2312" w:hAnsi="宋体" w:hint="eastAsia"/>
          <w:color w:val="000000"/>
          <w:kern w:val="0"/>
          <w:sz w:val="32"/>
          <w:szCs w:val="32"/>
        </w:rPr>
        <w:t>——</w:t>
      </w:r>
      <w:r w:rsidR="000D0773" w:rsidRPr="00490E82">
        <w:rPr>
          <w:rFonts w:asciiTheme="minorEastAsia" w:eastAsiaTheme="minorEastAsia" w:hAnsiTheme="minorEastAsia" w:cs="宋体" w:hint="eastAsia"/>
          <w:color w:val="000000"/>
          <w:kern w:val="0"/>
          <w:sz w:val="28"/>
          <w:szCs w:val="32"/>
        </w:rPr>
        <w:t>时和全球投资基金SPC-时和价值投资基金</w:t>
      </w:r>
      <w:r w:rsidR="00CE7F0B" w:rsidRPr="00490E82">
        <w:rPr>
          <w:rFonts w:asciiTheme="minorEastAsia" w:eastAsiaTheme="minorEastAsia" w:hAnsiTheme="minorEastAsia" w:cs="宋体" w:hint="eastAsia"/>
          <w:color w:val="000000"/>
          <w:kern w:val="0"/>
          <w:sz w:val="28"/>
          <w:szCs w:val="32"/>
        </w:rPr>
        <w:t>申请认可和执行香港特别行政区法院民事判决案</w:t>
      </w:r>
    </w:p>
    <w:p w:rsidR="00CE7F0B" w:rsidRDefault="00CE7F0B" w:rsidP="000A7638">
      <w:pPr>
        <w:widowControl/>
        <w:spacing w:line="560" w:lineRule="exact"/>
        <w:rPr>
          <w:rFonts w:ascii="仿宋_GB2312" w:eastAsia="仿宋_GB2312" w:hAnsi="宋体"/>
          <w:color w:val="000000"/>
          <w:kern w:val="0"/>
          <w:sz w:val="32"/>
          <w:szCs w:val="32"/>
        </w:rPr>
      </w:pPr>
    </w:p>
    <w:p w:rsidR="00896B83" w:rsidRDefault="00076C39" w:rsidP="000A7638">
      <w:pPr>
        <w:widowControl/>
        <w:spacing w:line="56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w:t>
      </w:r>
      <w:r w:rsidR="00434E7C" w:rsidRPr="00434E7C">
        <w:rPr>
          <w:rFonts w:ascii="黑体" w:eastAsia="黑体" w:hAnsi="黑体" w:hint="eastAsia"/>
          <w:color w:val="000000"/>
          <w:kern w:val="0"/>
          <w:sz w:val="32"/>
          <w:szCs w:val="32"/>
        </w:rPr>
        <w:t>基本案情</w:t>
      </w:r>
      <w:r>
        <w:rPr>
          <w:rFonts w:ascii="黑体" w:eastAsia="黑体" w:hAnsi="黑体" w:hint="eastAsia"/>
          <w:color w:val="000000"/>
          <w:kern w:val="0"/>
          <w:sz w:val="32"/>
          <w:szCs w:val="32"/>
        </w:rPr>
        <w:t>】</w:t>
      </w:r>
    </w:p>
    <w:p w:rsidR="000B5CD4" w:rsidRPr="00B12B04" w:rsidRDefault="000B5CD4" w:rsidP="00B12B04">
      <w:pPr>
        <w:widowControl/>
        <w:spacing w:line="560" w:lineRule="exact"/>
        <w:ind w:firstLineChars="200" w:firstLine="560"/>
        <w:rPr>
          <w:rFonts w:asciiTheme="minorEastAsia" w:eastAsiaTheme="minorEastAsia" w:hAnsiTheme="minorEastAsia" w:cs="宋体"/>
          <w:color w:val="000000"/>
          <w:kern w:val="0"/>
          <w:sz w:val="28"/>
          <w:szCs w:val="32"/>
        </w:rPr>
      </w:pPr>
      <w:proofErr w:type="gramStart"/>
      <w:r w:rsidRPr="00B12B04">
        <w:rPr>
          <w:rFonts w:asciiTheme="minorEastAsia" w:eastAsiaTheme="minorEastAsia" w:hAnsiTheme="minorEastAsia" w:cs="宋体" w:hint="eastAsia"/>
          <w:color w:val="000000"/>
          <w:kern w:val="0"/>
          <w:sz w:val="28"/>
          <w:szCs w:val="32"/>
        </w:rPr>
        <w:t>哲源国际</w:t>
      </w:r>
      <w:proofErr w:type="gramEnd"/>
      <w:r w:rsidRPr="00B12B04">
        <w:rPr>
          <w:rFonts w:asciiTheme="minorEastAsia" w:eastAsiaTheme="minorEastAsia" w:hAnsiTheme="minorEastAsia" w:cs="宋体" w:hint="eastAsia"/>
          <w:color w:val="000000"/>
          <w:kern w:val="0"/>
          <w:sz w:val="28"/>
          <w:szCs w:val="32"/>
        </w:rPr>
        <w:t>有限公司系上海华信国际集团有限公司（以下简称华信集团）设立于英属维京群岛的间接全资子公司。时和全球投资基金</w:t>
      </w:r>
      <w:r w:rsidR="00272908" w:rsidRPr="00B12B04">
        <w:rPr>
          <w:rFonts w:asciiTheme="minorEastAsia" w:eastAsiaTheme="minorEastAsia" w:hAnsiTheme="minorEastAsia" w:cs="宋体" w:hint="eastAsia"/>
          <w:color w:val="000000"/>
          <w:kern w:val="0"/>
          <w:sz w:val="28"/>
          <w:szCs w:val="32"/>
        </w:rPr>
        <w:t>SPC</w:t>
      </w:r>
      <w:r w:rsidRPr="00B12B04">
        <w:rPr>
          <w:rFonts w:asciiTheme="minorEastAsia" w:eastAsiaTheme="minorEastAsia" w:hAnsiTheme="minorEastAsia" w:cs="宋体" w:hint="eastAsia"/>
          <w:color w:val="000000"/>
          <w:kern w:val="0"/>
          <w:sz w:val="28"/>
          <w:szCs w:val="32"/>
        </w:rPr>
        <w:t>-时和价值投资基金（以下简称时和基金）购买</w:t>
      </w:r>
      <w:proofErr w:type="gramStart"/>
      <w:r w:rsidRPr="00B12B04">
        <w:rPr>
          <w:rFonts w:asciiTheme="minorEastAsia" w:eastAsiaTheme="minorEastAsia" w:hAnsiTheme="minorEastAsia" w:cs="宋体" w:hint="eastAsia"/>
          <w:color w:val="000000"/>
          <w:kern w:val="0"/>
          <w:sz w:val="28"/>
          <w:szCs w:val="32"/>
        </w:rPr>
        <w:t>了哲源国际</w:t>
      </w:r>
      <w:proofErr w:type="gramEnd"/>
      <w:r w:rsidRPr="00B12B04">
        <w:rPr>
          <w:rFonts w:asciiTheme="minorEastAsia" w:eastAsiaTheme="minorEastAsia" w:hAnsiTheme="minorEastAsia" w:cs="宋体" w:hint="eastAsia"/>
          <w:color w:val="000000"/>
          <w:kern w:val="0"/>
          <w:sz w:val="28"/>
          <w:szCs w:val="32"/>
        </w:rPr>
        <w:t>有限公司发行的欧元债券，华信集团向时和基金</w:t>
      </w:r>
      <w:proofErr w:type="gramStart"/>
      <w:r w:rsidRPr="00B12B04">
        <w:rPr>
          <w:rFonts w:asciiTheme="minorEastAsia" w:eastAsiaTheme="minorEastAsia" w:hAnsiTheme="minorEastAsia" w:cs="宋体" w:hint="eastAsia"/>
          <w:color w:val="000000"/>
          <w:kern w:val="0"/>
          <w:sz w:val="28"/>
          <w:szCs w:val="32"/>
        </w:rPr>
        <w:t>出具维好协议</w:t>
      </w:r>
      <w:proofErr w:type="gramEnd"/>
      <w:r w:rsidRPr="00B12B04">
        <w:rPr>
          <w:rFonts w:asciiTheme="minorEastAsia" w:eastAsiaTheme="minorEastAsia" w:hAnsiTheme="minorEastAsia" w:cs="宋体" w:hint="eastAsia"/>
          <w:color w:val="000000"/>
          <w:kern w:val="0"/>
          <w:sz w:val="28"/>
          <w:szCs w:val="32"/>
        </w:rPr>
        <w:t>（</w:t>
      </w:r>
      <w:proofErr w:type="spellStart"/>
      <w:r w:rsidRPr="00B12B04">
        <w:rPr>
          <w:rFonts w:asciiTheme="minorEastAsia" w:eastAsiaTheme="minorEastAsia" w:hAnsiTheme="minorEastAsia" w:cs="宋体" w:hint="eastAsia"/>
          <w:color w:val="000000"/>
          <w:kern w:val="0"/>
          <w:sz w:val="28"/>
          <w:szCs w:val="32"/>
        </w:rPr>
        <w:t>Keepwell</w:t>
      </w:r>
      <w:proofErr w:type="spellEnd"/>
      <w:r w:rsidRPr="00B12B04">
        <w:rPr>
          <w:rFonts w:asciiTheme="minorEastAsia" w:eastAsiaTheme="minorEastAsia" w:hAnsiTheme="minorEastAsia" w:cs="宋体" w:hint="eastAsia"/>
          <w:color w:val="000000"/>
          <w:kern w:val="0"/>
          <w:sz w:val="28"/>
          <w:szCs w:val="32"/>
        </w:rPr>
        <w:t xml:space="preserve"> Deed）。根据该协议，华信集团向时和基金承诺，将采取措施</w:t>
      </w:r>
      <w:proofErr w:type="gramStart"/>
      <w:r w:rsidRPr="00B12B04">
        <w:rPr>
          <w:rFonts w:asciiTheme="minorEastAsia" w:eastAsiaTheme="minorEastAsia" w:hAnsiTheme="minorEastAsia" w:cs="宋体" w:hint="eastAsia"/>
          <w:color w:val="000000"/>
          <w:kern w:val="0"/>
          <w:sz w:val="28"/>
          <w:szCs w:val="32"/>
        </w:rPr>
        <w:t>使哲源</w:t>
      </w:r>
      <w:proofErr w:type="gramEnd"/>
      <w:r w:rsidRPr="00B12B04">
        <w:rPr>
          <w:rFonts w:asciiTheme="minorEastAsia" w:eastAsiaTheme="minorEastAsia" w:hAnsiTheme="minorEastAsia" w:cs="宋体" w:hint="eastAsia"/>
          <w:color w:val="000000"/>
          <w:kern w:val="0"/>
          <w:sz w:val="28"/>
          <w:szCs w:val="32"/>
        </w:rPr>
        <w:t>国际有限公司维持合并净值及足够的流动性，以保障债券持有人利益，并明确该承诺并非担保，但如华信集团未能履行义务应承担相应法律责任。该协议适用英国法律，相关争议由香港特别行政区法院管辖。</w:t>
      </w:r>
    </w:p>
    <w:p w:rsidR="000B5CD4" w:rsidRPr="00B12B04" w:rsidRDefault="000B5CD4" w:rsidP="00B12B04">
      <w:pPr>
        <w:widowControl/>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时和基金以华信集团</w:t>
      </w:r>
      <w:proofErr w:type="gramStart"/>
      <w:r w:rsidRPr="00B12B04">
        <w:rPr>
          <w:rFonts w:asciiTheme="minorEastAsia" w:eastAsiaTheme="minorEastAsia" w:hAnsiTheme="minorEastAsia" w:cs="宋体" w:hint="eastAsia"/>
          <w:color w:val="000000"/>
          <w:kern w:val="0"/>
          <w:sz w:val="28"/>
          <w:szCs w:val="32"/>
        </w:rPr>
        <w:t>违反维好协议</w:t>
      </w:r>
      <w:proofErr w:type="gramEnd"/>
      <w:r w:rsidRPr="00B12B04">
        <w:rPr>
          <w:rFonts w:asciiTheme="minorEastAsia" w:eastAsiaTheme="minorEastAsia" w:hAnsiTheme="minorEastAsia" w:cs="宋体" w:hint="eastAsia"/>
          <w:color w:val="000000"/>
          <w:kern w:val="0"/>
          <w:sz w:val="28"/>
          <w:szCs w:val="32"/>
        </w:rPr>
        <w:t>的约定为由诉至香港特别行政区法院，华信集团未应诉，香港特别行政区高等法院原</w:t>
      </w:r>
      <w:proofErr w:type="gramStart"/>
      <w:r w:rsidRPr="00B12B04">
        <w:rPr>
          <w:rFonts w:asciiTheme="minorEastAsia" w:eastAsiaTheme="minorEastAsia" w:hAnsiTheme="minorEastAsia" w:cs="宋体" w:hint="eastAsia"/>
          <w:color w:val="000000"/>
          <w:kern w:val="0"/>
          <w:sz w:val="28"/>
          <w:szCs w:val="32"/>
        </w:rPr>
        <w:t>讼</w:t>
      </w:r>
      <w:proofErr w:type="gramEnd"/>
      <w:r w:rsidRPr="00B12B04">
        <w:rPr>
          <w:rFonts w:asciiTheme="minorEastAsia" w:eastAsiaTheme="minorEastAsia" w:hAnsiTheme="minorEastAsia" w:cs="宋体" w:hint="eastAsia"/>
          <w:color w:val="000000"/>
          <w:kern w:val="0"/>
          <w:sz w:val="28"/>
          <w:szCs w:val="32"/>
        </w:rPr>
        <w:t>法庭</w:t>
      </w:r>
      <w:proofErr w:type="gramStart"/>
      <w:r w:rsidRPr="00B12B04">
        <w:rPr>
          <w:rFonts w:asciiTheme="minorEastAsia" w:eastAsiaTheme="minorEastAsia" w:hAnsiTheme="minorEastAsia" w:cs="宋体" w:hint="eastAsia"/>
          <w:color w:val="000000"/>
          <w:kern w:val="0"/>
          <w:sz w:val="28"/>
          <w:szCs w:val="32"/>
        </w:rPr>
        <w:t>作出</w:t>
      </w:r>
      <w:proofErr w:type="gramEnd"/>
      <w:r w:rsidRPr="00B12B04">
        <w:rPr>
          <w:rFonts w:asciiTheme="minorEastAsia" w:eastAsiaTheme="minorEastAsia" w:hAnsiTheme="minorEastAsia" w:cs="宋体" w:hint="eastAsia"/>
          <w:color w:val="000000"/>
          <w:kern w:val="0"/>
          <w:sz w:val="28"/>
          <w:szCs w:val="32"/>
        </w:rPr>
        <w:t>HCA 1712/2018号民事判决，判令华信集团向时和基金支付债券本金、利息及特定费用。判决生效后，华信集团未履行该判决项下义务，时和基金向上海金融法院申请认可和执行香港特别行政区高等法院的判决。</w:t>
      </w:r>
    </w:p>
    <w:p w:rsidR="00434E7C" w:rsidRDefault="000B5CD4" w:rsidP="00B12B04">
      <w:pPr>
        <w:widowControl/>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上海金融法院裁定</w:t>
      </w:r>
      <w:r w:rsidRPr="00B12B04">
        <w:rPr>
          <w:rFonts w:asciiTheme="minorEastAsia" w:eastAsiaTheme="minorEastAsia" w:hAnsiTheme="minorEastAsia" w:cs="宋体"/>
          <w:color w:val="000000"/>
          <w:kern w:val="0"/>
          <w:sz w:val="28"/>
          <w:szCs w:val="32"/>
        </w:rPr>
        <w:t>认可和执行香港特别行政区高等法院原</w:t>
      </w:r>
      <w:proofErr w:type="gramStart"/>
      <w:r w:rsidRPr="00B12B04">
        <w:rPr>
          <w:rFonts w:asciiTheme="minorEastAsia" w:eastAsiaTheme="minorEastAsia" w:hAnsiTheme="minorEastAsia" w:cs="宋体"/>
          <w:color w:val="000000"/>
          <w:kern w:val="0"/>
          <w:sz w:val="28"/>
          <w:szCs w:val="32"/>
        </w:rPr>
        <w:t>讼</w:t>
      </w:r>
      <w:proofErr w:type="gramEnd"/>
      <w:r w:rsidRPr="00B12B04">
        <w:rPr>
          <w:rFonts w:asciiTheme="minorEastAsia" w:eastAsiaTheme="minorEastAsia" w:hAnsiTheme="minorEastAsia" w:cs="宋体"/>
          <w:color w:val="000000"/>
          <w:kern w:val="0"/>
          <w:sz w:val="28"/>
          <w:szCs w:val="32"/>
        </w:rPr>
        <w:t>法庭HCA 1712/2018号民事判决书。</w:t>
      </w:r>
      <w:r w:rsidRPr="00B12B04">
        <w:rPr>
          <w:rFonts w:asciiTheme="minorEastAsia" w:eastAsiaTheme="minorEastAsia" w:hAnsiTheme="minorEastAsia" w:cs="宋体" w:hint="eastAsia"/>
          <w:color w:val="000000"/>
          <w:kern w:val="0"/>
          <w:sz w:val="28"/>
          <w:szCs w:val="32"/>
        </w:rPr>
        <w:t>裁定</w:t>
      </w:r>
      <w:proofErr w:type="gramStart"/>
      <w:r w:rsidRPr="00B12B04">
        <w:rPr>
          <w:rFonts w:asciiTheme="minorEastAsia" w:eastAsiaTheme="minorEastAsia" w:hAnsiTheme="minorEastAsia" w:cs="宋体" w:hint="eastAsia"/>
          <w:color w:val="000000"/>
          <w:kern w:val="0"/>
          <w:sz w:val="28"/>
          <w:szCs w:val="32"/>
        </w:rPr>
        <w:t>作出</w:t>
      </w:r>
      <w:proofErr w:type="gramEnd"/>
      <w:r w:rsidRPr="00B12B04">
        <w:rPr>
          <w:rFonts w:asciiTheme="minorEastAsia" w:eastAsiaTheme="minorEastAsia" w:hAnsiTheme="minorEastAsia" w:cs="宋体" w:hint="eastAsia"/>
          <w:color w:val="000000"/>
          <w:kern w:val="0"/>
          <w:sz w:val="28"/>
          <w:szCs w:val="32"/>
        </w:rPr>
        <w:t>后，</w:t>
      </w:r>
      <w:r w:rsidRPr="00B12B04">
        <w:rPr>
          <w:rFonts w:asciiTheme="minorEastAsia" w:eastAsiaTheme="minorEastAsia" w:hAnsiTheme="minorEastAsia" w:cs="宋体"/>
          <w:color w:val="000000"/>
          <w:kern w:val="0"/>
          <w:sz w:val="28"/>
          <w:szCs w:val="32"/>
        </w:rPr>
        <w:t>申请人</w:t>
      </w:r>
      <w:r w:rsidRPr="00B12B04">
        <w:rPr>
          <w:rFonts w:asciiTheme="minorEastAsia" w:eastAsiaTheme="minorEastAsia" w:hAnsiTheme="minorEastAsia" w:cs="宋体" w:hint="eastAsia"/>
          <w:color w:val="000000"/>
          <w:kern w:val="0"/>
          <w:sz w:val="28"/>
          <w:szCs w:val="32"/>
        </w:rPr>
        <w:t>时和基金与被申请人华信集团均未提起复议。</w:t>
      </w:r>
    </w:p>
    <w:p w:rsidR="00490E82" w:rsidRPr="00B12B04" w:rsidRDefault="00490E82" w:rsidP="00B12B04">
      <w:pPr>
        <w:widowControl/>
        <w:spacing w:line="560" w:lineRule="exact"/>
        <w:ind w:firstLineChars="200" w:firstLine="560"/>
        <w:rPr>
          <w:rFonts w:asciiTheme="minorEastAsia" w:eastAsiaTheme="minorEastAsia" w:hAnsiTheme="minorEastAsia" w:cs="宋体"/>
          <w:color w:val="000000"/>
          <w:kern w:val="0"/>
          <w:sz w:val="28"/>
          <w:szCs w:val="32"/>
        </w:rPr>
      </w:pPr>
    </w:p>
    <w:p w:rsidR="00076C39" w:rsidRPr="007002AD" w:rsidRDefault="00076C39" w:rsidP="00076C39">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【专家点评】</w:t>
      </w:r>
    </w:p>
    <w:p w:rsidR="00076C39" w:rsidRPr="00B12B04" w:rsidRDefault="00076C39" w:rsidP="00B12B04">
      <w:pPr>
        <w:widowControl/>
        <w:spacing w:line="560" w:lineRule="exact"/>
        <w:ind w:firstLineChars="200" w:firstLine="560"/>
        <w:rPr>
          <w:rFonts w:ascii="黑体" w:eastAsia="黑体" w:hAnsi="黑体"/>
          <w:color w:val="000000"/>
          <w:kern w:val="0"/>
          <w:sz w:val="28"/>
          <w:szCs w:val="32"/>
        </w:rPr>
      </w:pPr>
      <w:r w:rsidRPr="00B12B04">
        <w:rPr>
          <w:rFonts w:ascii="黑体" w:eastAsia="黑体" w:hAnsi="黑体" w:hint="eastAsia"/>
          <w:color w:val="000000"/>
          <w:kern w:val="0"/>
          <w:sz w:val="28"/>
          <w:szCs w:val="32"/>
        </w:rPr>
        <w:t>点评人：黄辉，香港中文大学法学院教授</w:t>
      </w:r>
    </w:p>
    <w:p w:rsidR="00076C39" w:rsidRPr="00B12B04" w:rsidRDefault="00076C39" w:rsidP="00B12B04">
      <w:pPr>
        <w:widowControl/>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随着我国新时代改革开放的进一步深入和发展，跨境商</w:t>
      </w:r>
      <w:proofErr w:type="gramStart"/>
      <w:r w:rsidRPr="00B12B04">
        <w:rPr>
          <w:rFonts w:asciiTheme="minorEastAsia" w:eastAsiaTheme="minorEastAsia" w:hAnsiTheme="minorEastAsia" w:cs="宋体" w:hint="eastAsia"/>
          <w:color w:val="000000"/>
          <w:kern w:val="0"/>
          <w:sz w:val="28"/>
          <w:szCs w:val="32"/>
        </w:rPr>
        <w:t>事交易</w:t>
      </w:r>
      <w:proofErr w:type="gramEnd"/>
      <w:r w:rsidRPr="00B12B04">
        <w:rPr>
          <w:rFonts w:asciiTheme="minorEastAsia" w:eastAsiaTheme="minorEastAsia" w:hAnsiTheme="minorEastAsia" w:cs="宋体" w:hint="eastAsia"/>
          <w:color w:val="000000"/>
          <w:kern w:val="0"/>
          <w:sz w:val="28"/>
          <w:szCs w:val="32"/>
        </w:rPr>
        <w:t>日趋频繁，对于跨境商事纠纷解决机制的建立和</w:t>
      </w:r>
      <w:proofErr w:type="gramStart"/>
      <w:r w:rsidRPr="00B12B04">
        <w:rPr>
          <w:rFonts w:asciiTheme="minorEastAsia" w:eastAsiaTheme="minorEastAsia" w:hAnsiTheme="minorEastAsia" w:cs="宋体" w:hint="eastAsia"/>
          <w:color w:val="000000"/>
          <w:kern w:val="0"/>
          <w:sz w:val="28"/>
          <w:szCs w:val="32"/>
        </w:rPr>
        <w:t>健全提出</w:t>
      </w:r>
      <w:proofErr w:type="gramEnd"/>
      <w:r w:rsidRPr="00B12B04">
        <w:rPr>
          <w:rFonts w:asciiTheme="minorEastAsia" w:eastAsiaTheme="minorEastAsia" w:hAnsiTheme="minorEastAsia" w:cs="宋体" w:hint="eastAsia"/>
          <w:color w:val="000000"/>
          <w:kern w:val="0"/>
          <w:sz w:val="28"/>
          <w:szCs w:val="32"/>
        </w:rPr>
        <w:t>了更高要求，包括跨境民商事判决的承认和执行。目前，我国这方面的法律建设亟需加强，截止</w:t>
      </w:r>
      <w:r w:rsidRPr="00B12B04">
        <w:rPr>
          <w:rFonts w:asciiTheme="minorEastAsia" w:eastAsiaTheme="minorEastAsia" w:hAnsiTheme="minorEastAsia" w:cs="宋体"/>
          <w:color w:val="000000"/>
          <w:kern w:val="0"/>
          <w:sz w:val="28"/>
          <w:szCs w:val="32"/>
        </w:rPr>
        <w:t>2019年，我国只签订了39个关于民商事判决承认和执行的双边条约，且主要为</w:t>
      </w:r>
      <w:proofErr w:type="gramStart"/>
      <w:r w:rsidRPr="00B12B04">
        <w:rPr>
          <w:rFonts w:asciiTheme="minorEastAsia" w:eastAsiaTheme="minorEastAsia" w:hAnsiTheme="minorEastAsia" w:cs="宋体"/>
          <w:color w:val="000000"/>
          <w:kern w:val="0"/>
          <w:sz w:val="28"/>
          <w:szCs w:val="32"/>
        </w:rPr>
        <w:t>非发达</w:t>
      </w:r>
      <w:proofErr w:type="gramEnd"/>
      <w:r w:rsidRPr="00B12B04">
        <w:rPr>
          <w:rFonts w:asciiTheme="minorEastAsia" w:eastAsiaTheme="minorEastAsia" w:hAnsiTheme="minorEastAsia" w:cs="宋体"/>
          <w:color w:val="000000"/>
          <w:kern w:val="0"/>
          <w:sz w:val="28"/>
          <w:szCs w:val="32"/>
        </w:rPr>
        <w:t>经济体，更重要的是，由于种种原因，中国根据这些条约承认和执行的跨境民商事判决数量很少，且绝大部分是普通的合同和侵权类民事案件，金融案件并不多见。香港作为国际金融中心，在“一国两制”框架下，与内地签订了关于跨境民商事判决的承认和执行的一系列相关</w:t>
      </w:r>
      <w:r w:rsidRPr="00B12B04">
        <w:rPr>
          <w:rFonts w:asciiTheme="minorEastAsia" w:eastAsiaTheme="minorEastAsia" w:hAnsiTheme="minorEastAsia" w:cs="宋体" w:hint="eastAsia"/>
          <w:color w:val="000000"/>
          <w:kern w:val="0"/>
          <w:sz w:val="28"/>
          <w:szCs w:val="32"/>
        </w:rPr>
        <w:t>协议，目前适用的是</w:t>
      </w:r>
      <w:r w:rsidRPr="00B12B04">
        <w:rPr>
          <w:rFonts w:asciiTheme="minorEastAsia" w:eastAsiaTheme="minorEastAsia" w:hAnsiTheme="minorEastAsia" w:cs="宋体"/>
          <w:color w:val="000000"/>
          <w:kern w:val="0"/>
          <w:sz w:val="28"/>
          <w:szCs w:val="32"/>
        </w:rPr>
        <w:t>2008年施行的最高人民法院《关于内地与香港特别行政区法院相互认可和执行当事人协议管辖的民商事案件判决的安排》（下称2008年安排）。</w:t>
      </w:r>
    </w:p>
    <w:p w:rsidR="00076C39" w:rsidRPr="00B12B04" w:rsidRDefault="00076C39" w:rsidP="00B12B04">
      <w:pPr>
        <w:widowControl/>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本案系全国首例涉境内公司针对境外关联公司发债出具“维好协议”之香港法院生效判决在内地法院申请承认和执行的案件。跨境融资交易中，</w:t>
      </w:r>
      <w:proofErr w:type="gramStart"/>
      <w:r w:rsidRPr="00B12B04">
        <w:rPr>
          <w:rFonts w:asciiTheme="minorEastAsia" w:eastAsiaTheme="minorEastAsia" w:hAnsiTheme="minorEastAsia" w:cs="宋体" w:hint="eastAsia"/>
          <w:color w:val="000000"/>
          <w:kern w:val="0"/>
          <w:sz w:val="28"/>
          <w:szCs w:val="32"/>
        </w:rPr>
        <w:t>维好协议</w:t>
      </w:r>
      <w:proofErr w:type="gramEnd"/>
      <w:r w:rsidRPr="00B12B04">
        <w:rPr>
          <w:rFonts w:asciiTheme="minorEastAsia" w:eastAsiaTheme="minorEastAsia" w:hAnsiTheme="minorEastAsia" w:cs="宋体" w:hint="eastAsia"/>
          <w:color w:val="000000"/>
          <w:kern w:val="0"/>
          <w:sz w:val="28"/>
          <w:szCs w:val="32"/>
        </w:rPr>
        <w:t>是境内公司为境外关联公司发债增信的常用措施。本案香港高等法院原</w:t>
      </w:r>
      <w:proofErr w:type="gramStart"/>
      <w:r w:rsidRPr="00B12B04">
        <w:rPr>
          <w:rFonts w:asciiTheme="minorEastAsia" w:eastAsiaTheme="minorEastAsia" w:hAnsiTheme="minorEastAsia" w:cs="宋体" w:hint="eastAsia"/>
          <w:color w:val="000000"/>
          <w:kern w:val="0"/>
          <w:sz w:val="28"/>
          <w:szCs w:val="32"/>
        </w:rPr>
        <w:t>讼</w:t>
      </w:r>
      <w:proofErr w:type="gramEnd"/>
      <w:r w:rsidRPr="00B12B04">
        <w:rPr>
          <w:rFonts w:asciiTheme="minorEastAsia" w:eastAsiaTheme="minorEastAsia" w:hAnsiTheme="minorEastAsia" w:cs="宋体" w:hint="eastAsia"/>
          <w:color w:val="000000"/>
          <w:kern w:val="0"/>
          <w:sz w:val="28"/>
          <w:szCs w:val="32"/>
        </w:rPr>
        <w:t>法庭</w:t>
      </w:r>
      <w:proofErr w:type="gramStart"/>
      <w:r w:rsidRPr="00B12B04">
        <w:rPr>
          <w:rFonts w:asciiTheme="minorEastAsia" w:eastAsiaTheme="minorEastAsia" w:hAnsiTheme="minorEastAsia" w:cs="宋体" w:hint="eastAsia"/>
          <w:color w:val="000000"/>
          <w:kern w:val="0"/>
          <w:sz w:val="28"/>
          <w:szCs w:val="32"/>
        </w:rPr>
        <w:t>对于维好协议</w:t>
      </w:r>
      <w:proofErr w:type="gramEnd"/>
      <w:r w:rsidRPr="00B12B04">
        <w:rPr>
          <w:rFonts w:asciiTheme="minorEastAsia" w:eastAsiaTheme="minorEastAsia" w:hAnsiTheme="minorEastAsia" w:cs="宋体" w:hint="eastAsia"/>
          <w:color w:val="000000"/>
          <w:kern w:val="0"/>
          <w:sz w:val="28"/>
          <w:szCs w:val="32"/>
        </w:rPr>
        <w:t>引发的违约责任</w:t>
      </w:r>
      <w:proofErr w:type="gramStart"/>
      <w:r w:rsidRPr="00B12B04">
        <w:rPr>
          <w:rFonts w:asciiTheme="minorEastAsia" w:eastAsiaTheme="minorEastAsia" w:hAnsiTheme="minorEastAsia" w:cs="宋体" w:hint="eastAsia"/>
          <w:color w:val="000000"/>
          <w:kern w:val="0"/>
          <w:sz w:val="28"/>
          <w:szCs w:val="32"/>
        </w:rPr>
        <w:t>作出</w:t>
      </w:r>
      <w:proofErr w:type="gramEnd"/>
      <w:r w:rsidRPr="00B12B04">
        <w:rPr>
          <w:rFonts w:asciiTheme="minorEastAsia" w:eastAsiaTheme="minorEastAsia" w:hAnsiTheme="minorEastAsia" w:cs="宋体" w:hint="eastAsia"/>
          <w:color w:val="000000"/>
          <w:kern w:val="0"/>
          <w:sz w:val="28"/>
          <w:szCs w:val="32"/>
        </w:rPr>
        <w:t>缺席判决。上海金融法院根据《</w:t>
      </w:r>
      <w:r w:rsidRPr="00B12B04">
        <w:rPr>
          <w:rFonts w:asciiTheme="minorEastAsia" w:eastAsiaTheme="minorEastAsia" w:hAnsiTheme="minorEastAsia" w:cs="宋体"/>
          <w:color w:val="000000"/>
          <w:kern w:val="0"/>
          <w:sz w:val="28"/>
          <w:szCs w:val="32"/>
        </w:rPr>
        <w:t>2008年安排》之规定，对涉案的香港判决进行审查，认可开曼群岛公司法中独立投资组合公司下设独立投资组合的申请人地位，并明确涉案判决虽然为缺席判决，但被申请人未在合理期限内寻求司法救济，故属于具有执行力的终审判决。尤其重要的是，判定</w:t>
      </w:r>
      <w:proofErr w:type="gramStart"/>
      <w:r w:rsidRPr="00B12B04">
        <w:rPr>
          <w:rFonts w:asciiTheme="minorEastAsia" w:eastAsiaTheme="minorEastAsia" w:hAnsiTheme="minorEastAsia" w:cs="宋体"/>
          <w:color w:val="000000"/>
          <w:kern w:val="0"/>
          <w:sz w:val="28"/>
          <w:szCs w:val="32"/>
        </w:rPr>
        <w:t>不能以内</w:t>
      </w:r>
      <w:proofErr w:type="gramEnd"/>
      <w:r w:rsidRPr="00B12B04">
        <w:rPr>
          <w:rFonts w:asciiTheme="minorEastAsia" w:eastAsiaTheme="minorEastAsia" w:hAnsiTheme="minorEastAsia" w:cs="宋体"/>
          <w:color w:val="000000"/>
          <w:kern w:val="0"/>
          <w:sz w:val="28"/>
          <w:szCs w:val="32"/>
        </w:rPr>
        <w:t>地法律</w:t>
      </w:r>
      <w:proofErr w:type="gramStart"/>
      <w:r w:rsidRPr="00B12B04">
        <w:rPr>
          <w:rFonts w:asciiTheme="minorEastAsia" w:eastAsiaTheme="minorEastAsia" w:hAnsiTheme="minorEastAsia" w:cs="宋体"/>
          <w:color w:val="000000"/>
          <w:kern w:val="0"/>
          <w:sz w:val="28"/>
          <w:szCs w:val="32"/>
        </w:rPr>
        <w:t>关于维好</w:t>
      </w:r>
      <w:r w:rsidRPr="00B12B04">
        <w:rPr>
          <w:rFonts w:asciiTheme="minorEastAsia" w:eastAsiaTheme="minorEastAsia" w:hAnsiTheme="minorEastAsia" w:cs="宋体" w:hint="eastAsia"/>
          <w:color w:val="000000"/>
          <w:kern w:val="0"/>
          <w:sz w:val="28"/>
          <w:szCs w:val="32"/>
        </w:rPr>
        <w:t>协议</w:t>
      </w:r>
      <w:proofErr w:type="gramEnd"/>
      <w:r w:rsidRPr="00B12B04">
        <w:rPr>
          <w:rFonts w:asciiTheme="minorEastAsia" w:eastAsiaTheme="minorEastAsia" w:hAnsiTheme="minorEastAsia" w:cs="宋体" w:hint="eastAsia"/>
          <w:color w:val="000000"/>
          <w:kern w:val="0"/>
          <w:sz w:val="28"/>
          <w:szCs w:val="32"/>
        </w:rPr>
        <w:t>性质及效力的实体判断作为认可和执行香港判决是否违反内地社会公共利益的认定标准，而只应考量认可和执行相关判决的结果是否有悖于案件审理之时的公共利益。违反公共利益是中国不予认可与执行境外判决的一个法定事由，但由于其高度抽象和概括，导致法律的不确定性，从而常为境外人士诟病，本案对于公共利益进行严格解释，厘清了认定标准，现实意义重大。</w:t>
      </w:r>
    </w:p>
    <w:p w:rsidR="00076C39" w:rsidRPr="00B12B04" w:rsidRDefault="00076C39" w:rsidP="00B12B04">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本案判决充分显示了上海金融法院的专业性和开拓精神，</w:t>
      </w:r>
      <w:proofErr w:type="gramStart"/>
      <w:r w:rsidRPr="00B12B04">
        <w:rPr>
          <w:rFonts w:asciiTheme="minorEastAsia" w:eastAsiaTheme="minorEastAsia" w:hAnsiTheme="minorEastAsia" w:cs="宋体" w:hint="eastAsia"/>
          <w:color w:val="000000"/>
          <w:kern w:val="0"/>
          <w:sz w:val="28"/>
          <w:szCs w:val="32"/>
        </w:rPr>
        <w:t>对于维好协议</w:t>
      </w:r>
      <w:proofErr w:type="gramEnd"/>
      <w:r w:rsidRPr="00B12B04">
        <w:rPr>
          <w:rFonts w:asciiTheme="minorEastAsia" w:eastAsiaTheme="minorEastAsia" w:hAnsiTheme="minorEastAsia" w:cs="宋体" w:hint="eastAsia"/>
          <w:color w:val="000000"/>
          <w:kern w:val="0"/>
          <w:sz w:val="28"/>
          <w:szCs w:val="32"/>
        </w:rPr>
        <w:t>涉及的诉讼主体</w:t>
      </w:r>
      <w:proofErr w:type="gramStart"/>
      <w:r w:rsidRPr="00B12B04">
        <w:rPr>
          <w:rFonts w:asciiTheme="minorEastAsia" w:eastAsiaTheme="minorEastAsia" w:hAnsiTheme="minorEastAsia" w:cs="宋体" w:hint="eastAsia"/>
          <w:color w:val="000000"/>
          <w:kern w:val="0"/>
          <w:sz w:val="28"/>
          <w:szCs w:val="32"/>
        </w:rPr>
        <w:t>适格性</w:t>
      </w:r>
      <w:proofErr w:type="gramEnd"/>
      <w:r w:rsidRPr="00B12B04">
        <w:rPr>
          <w:rFonts w:asciiTheme="minorEastAsia" w:eastAsiaTheme="minorEastAsia" w:hAnsiTheme="minorEastAsia" w:cs="宋体" w:hint="eastAsia"/>
          <w:color w:val="000000"/>
          <w:kern w:val="0"/>
          <w:sz w:val="28"/>
          <w:szCs w:val="32"/>
        </w:rPr>
        <w:t>、判决终局性和公共利益认定等问题做出了合理判决，具有重要的规范指引作用。本案有助于提升国际评级机构对相关债券的评级，降低中国公司海外主体发债利</w:t>
      </w:r>
      <w:proofErr w:type="gramStart"/>
      <w:r w:rsidRPr="00B12B04">
        <w:rPr>
          <w:rFonts w:asciiTheme="minorEastAsia" w:eastAsiaTheme="minorEastAsia" w:hAnsiTheme="minorEastAsia" w:cs="宋体" w:hint="eastAsia"/>
          <w:color w:val="000000"/>
          <w:kern w:val="0"/>
          <w:sz w:val="28"/>
          <w:szCs w:val="32"/>
        </w:rPr>
        <w:t>息</w:t>
      </w:r>
      <w:proofErr w:type="gramEnd"/>
      <w:r w:rsidRPr="00B12B04">
        <w:rPr>
          <w:rFonts w:asciiTheme="minorEastAsia" w:eastAsiaTheme="minorEastAsia" w:hAnsiTheme="minorEastAsia" w:cs="宋体" w:hint="eastAsia"/>
          <w:color w:val="000000"/>
          <w:kern w:val="0"/>
          <w:sz w:val="28"/>
          <w:szCs w:val="32"/>
        </w:rPr>
        <w:t>成本，同时，也有利于加强香港的国际金融中心地位，维护香港的长期繁荣稳定，让香港在我国金融市场的国际化进程中发挥更大的作用。</w:t>
      </w:r>
    </w:p>
    <w:p w:rsidR="005B2F8A" w:rsidRDefault="005B2F8A" w:rsidP="005B2F8A">
      <w:pPr>
        <w:adjustRightInd w:val="0"/>
        <w:snapToGrid w:val="0"/>
        <w:spacing w:line="560" w:lineRule="exact"/>
        <w:rPr>
          <w:rFonts w:asciiTheme="minorEastAsia" w:eastAsiaTheme="minorEastAsia" w:hAnsiTheme="minorEastAsia" w:cs="宋体"/>
          <w:color w:val="000000"/>
          <w:kern w:val="0"/>
          <w:sz w:val="32"/>
          <w:szCs w:val="32"/>
        </w:rPr>
      </w:pPr>
    </w:p>
    <w:p w:rsidR="00926BBB" w:rsidRDefault="00926BBB" w:rsidP="005B2F8A">
      <w:pPr>
        <w:adjustRightInd w:val="0"/>
        <w:snapToGrid w:val="0"/>
        <w:spacing w:line="560" w:lineRule="exact"/>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rPr>
          <w:rFonts w:asciiTheme="minorEastAsia" w:eastAsiaTheme="minorEastAsia" w:hAnsiTheme="minorEastAsia" w:cs="宋体"/>
          <w:color w:val="000000"/>
          <w:kern w:val="0"/>
          <w:sz w:val="32"/>
          <w:szCs w:val="32"/>
        </w:rPr>
      </w:pPr>
    </w:p>
    <w:p w:rsidR="006949EA" w:rsidRDefault="006949EA" w:rsidP="005B2F8A">
      <w:pPr>
        <w:adjustRightInd w:val="0"/>
        <w:snapToGrid w:val="0"/>
        <w:jc w:val="center"/>
        <w:rPr>
          <w:rFonts w:ascii="黑体" w:eastAsia="黑体" w:hAnsi="黑体"/>
          <w:color w:val="000000"/>
          <w:kern w:val="0"/>
          <w:sz w:val="36"/>
          <w:szCs w:val="36"/>
        </w:rPr>
      </w:pPr>
    </w:p>
    <w:p w:rsidR="005B2F8A" w:rsidRPr="00490E82" w:rsidRDefault="005B2F8A" w:rsidP="005B2F8A">
      <w:pPr>
        <w:adjustRightInd w:val="0"/>
        <w:snapToGrid w:val="0"/>
        <w:jc w:val="center"/>
        <w:rPr>
          <w:rFonts w:ascii="黑体" w:eastAsia="黑体" w:hAnsi="黑体"/>
          <w:color w:val="000000"/>
          <w:kern w:val="0"/>
          <w:sz w:val="32"/>
          <w:szCs w:val="36"/>
        </w:rPr>
      </w:pPr>
      <w:r w:rsidRPr="00490E82">
        <w:rPr>
          <w:rFonts w:ascii="黑体" w:eastAsia="黑体" w:hAnsi="黑体" w:hint="eastAsia"/>
          <w:color w:val="000000"/>
          <w:kern w:val="0"/>
          <w:sz w:val="32"/>
          <w:szCs w:val="36"/>
        </w:rPr>
        <w:t>通道类信托业务中受托人外部责任的司法认定</w:t>
      </w:r>
    </w:p>
    <w:p w:rsidR="005B2F8A" w:rsidRPr="00490E82" w:rsidRDefault="005B2F8A" w:rsidP="005B2F8A">
      <w:pPr>
        <w:widowControl/>
        <w:spacing w:line="560" w:lineRule="exact"/>
        <w:jc w:val="center"/>
        <w:rPr>
          <w:rFonts w:asciiTheme="minorEastAsia" w:eastAsiaTheme="minorEastAsia" w:hAnsiTheme="minorEastAsia" w:cs="宋体"/>
          <w:color w:val="000000"/>
          <w:kern w:val="0"/>
          <w:sz w:val="28"/>
          <w:szCs w:val="32"/>
        </w:rPr>
      </w:pPr>
      <w:r>
        <w:rPr>
          <w:rFonts w:ascii="仿宋_GB2312" w:eastAsia="仿宋_GB2312" w:hAnsi="宋体" w:hint="eastAsia"/>
          <w:color w:val="000000"/>
          <w:kern w:val="0"/>
          <w:sz w:val="32"/>
          <w:szCs w:val="32"/>
        </w:rPr>
        <w:t>——</w:t>
      </w:r>
      <w:r w:rsidRPr="00490E82">
        <w:rPr>
          <w:rFonts w:asciiTheme="minorEastAsia" w:eastAsiaTheme="minorEastAsia" w:hAnsiTheme="minorEastAsia" w:cs="宋体" w:hint="eastAsia"/>
          <w:color w:val="000000"/>
          <w:kern w:val="0"/>
          <w:sz w:val="28"/>
          <w:szCs w:val="32"/>
        </w:rPr>
        <w:t>上诉人吴某与上诉人华澳国际信托有限公司财产损害赔偿纠纷案</w:t>
      </w:r>
    </w:p>
    <w:p w:rsidR="009C0D9C" w:rsidRDefault="009C0D9C" w:rsidP="000A7638">
      <w:pPr>
        <w:widowControl/>
        <w:spacing w:line="560" w:lineRule="exact"/>
        <w:ind w:firstLineChars="200" w:firstLine="640"/>
        <w:rPr>
          <w:rFonts w:ascii="黑体" w:eastAsia="黑体" w:hAnsi="黑体"/>
          <w:color w:val="000000"/>
          <w:kern w:val="0"/>
          <w:sz w:val="32"/>
          <w:szCs w:val="32"/>
        </w:rPr>
      </w:pPr>
    </w:p>
    <w:p w:rsidR="000B5303" w:rsidRPr="00D631D3" w:rsidRDefault="00076C39" w:rsidP="000A7638">
      <w:pPr>
        <w:widowControl/>
        <w:spacing w:line="56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w:t>
      </w:r>
      <w:r w:rsidR="000B5303" w:rsidRPr="00434E7C">
        <w:rPr>
          <w:rFonts w:ascii="黑体" w:eastAsia="黑体" w:hAnsi="黑体" w:hint="eastAsia"/>
          <w:color w:val="000000"/>
          <w:kern w:val="0"/>
          <w:sz w:val="32"/>
          <w:szCs w:val="32"/>
        </w:rPr>
        <w:t>基本案情</w:t>
      </w:r>
      <w:r>
        <w:rPr>
          <w:rFonts w:ascii="黑体" w:eastAsia="黑体" w:hAnsi="黑体" w:hint="eastAsia"/>
          <w:color w:val="000000"/>
          <w:kern w:val="0"/>
          <w:sz w:val="32"/>
          <w:szCs w:val="32"/>
        </w:rPr>
        <w:t>】</w:t>
      </w:r>
    </w:p>
    <w:p w:rsidR="00451AF7" w:rsidRPr="00B12B04" w:rsidRDefault="00E6386D" w:rsidP="00B12B04">
      <w:pPr>
        <w:widowControl/>
        <w:snapToGrid w:val="0"/>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上海寅浔投资管理中心（有限合伙）（以下简称上海寅</w:t>
      </w:r>
      <w:proofErr w:type="gramStart"/>
      <w:r w:rsidRPr="00B12B04">
        <w:rPr>
          <w:rFonts w:asciiTheme="minorEastAsia" w:eastAsiaTheme="minorEastAsia" w:hAnsiTheme="minorEastAsia" w:cs="宋体" w:hint="eastAsia"/>
          <w:color w:val="000000"/>
          <w:kern w:val="0"/>
          <w:sz w:val="28"/>
          <w:szCs w:val="32"/>
        </w:rPr>
        <w:t>浔</w:t>
      </w:r>
      <w:proofErr w:type="gramEnd"/>
      <w:r w:rsidRPr="00B12B04">
        <w:rPr>
          <w:rFonts w:asciiTheme="minorEastAsia" w:eastAsiaTheme="minorEastAsia" w:hAnsiTheme="minorEastAsia" w:cs="宋体" w:hint="eastAsia"/>
          <w:color w:val="000000"/>
          <w:kern w:val="0"/>
          <w:sz w:val="28"/>
          <w:szCs w:val="32"/>
        </w:rPr>
        <w:t>）</w:t>
      </w:r>
      <w:r w:rsidR="00451AF7" w:rsidRPr="00B12B04">
        <w:rPr>
          <w:rFonts w:asciiTheme="minorEastAsia" w:eastAsiaTheme="minorEastAsia" w:hAnsiTheme="minorEastAsia" w:cs="宋体" w:hint="eastAsia"/>
          <w:color w:val="000000"/>
          <w:kern w:val="0"/>
          <w:sz w:val="28"/>
          <w:szCs w:val="32"/>
        </w:rPr>
        <w:t>与</w:t>
      </w:r>
      <w:r w:rsidR="00EC1C7F" w:rsidRPr="00B12B04">
        <w:rPr>
          <w:rFonts w:asciiTheme="minorEastAsia" w:eastAsiaTheme="minorEastAsia" w:hAnsiTheme="minorEastAsia" w:cs="宋体" w:hint="eastAsia"/>
          <w:color w:val="000000"/>
          <w:kern w:val="0"/>
          <w:sz w:val="28"/>
          <w:szCs w:val="32"/>
        </w:rPr>
        <w:t>华澳国际信托有限公司（以下简称华澳信托）</w:t>
      </w:r>
      <w:r w:rsidR="00272908" w:rsidRPr="00B12B04">
        <w:rPr>
          <w:rFonts w:asciiTheme="minorEastAsia" w:eastAsiaTheme="minorEastAsia" w:hAnsiTheme="minorEastAsia" w:cs="宋体" w:hint="eastAsia"/>
          <w:color w:val="000000"/>
          <w:kern w:val="0"/>
          <w:sz w:val="28"/>
          <w:szCs w:val="32"/>
        </w:rPr>
        <w:t>签订</w:t>
      </w:r>
      <w:r w:rsidR="004D4613" w:rsidRPr="00B12B04">
        <w:rPr>
          <w:rFonts w:asciiTheme="minorEastAsia" w:eastAsiaTheme="minorEastAsia" w:hAnsiTheme="minorEastAsia" w:cs="宋体" w:hint="eastAsia"/>
          <w:color w:val="000000"/>
          <w:kern w:val="0"/>
          <w:sz w:val="28"/>
          <w:szCs w:val="32"/>
        </w:rPr>
        <w:t>《单一资金信托合同》（以下简称《信托合同》）</w:t>
      </w:r>
      <w:r w:rsidR="00451AF7" w:rsidRPr="00B12B04">
        <w:rPr>
          <w:rFonts w:asciiTheme="minorEastAsia" w:eastAsiaTheme="minorEastAsia" w:hAnsiTheme="minorEastAsia" w:cs="宋体" w:hint="eastAsia"/>
          <w:color w:val="000000"/>
          <w:kern w:val="0"/>
          <w:sz w:val="28"/>
          <w:szCs w:val="32"/>
        </w:rPr>
        <w:t>，约定委托人</w:t>
      </w:r>
      <w:r w:rsidR="00EC1C7F" w:rsidRPr="00B12B04">
        <w:rPr>
          <w:rFonts w:asciiTheme="minorEastAsia" w:eastAsiaTheme="minorEastAsia" w:hAnsiTheme="minorEastAsia" w:cs="宋体" w:hint="eastAsia"/>
          <w:color w:val="000000"/>
          <w:kern w:val="0"/>
          <w:sz w:val="28"/>
          <w:szCs w:val="32"/>
        </w:rPr>
        <w:t>上海寅</w:t>
      </w:r>
      <w:proofErr w:type="gramStart"/>
      <w:r w:rsidR="00EC1C7F" w:rsidRPr="00B12B04">
        <w:rPr>
          <w:rFonts w:asciiTheme="minorEastAsia" w:eastAsiaTheme="minorEastAsia" w:hAnsiTheme="minorEastAsia" w:cs="宋体" w:hint="eastAsia"/>
          <w:color w:val="000000"/>
          <w:kern w:val="0"/>
          <w:sz w:val="28"/>
          <w:szCs w:val="32"/>
        </w:rPr>
        <w:t>浔</w:t>
      </w:r>
      <w:proofErr w:type="gramEnd"/>
      <w:r w:rsidR="00451AF7" w:rsidRPr="00B12B04">
        <w:rPr>
          <w:rFonts w:asciiTheme="minorEastAsia" w:eastAsiaTheme="minorEastAsia" w:hAnsiTheme="minorEastAsia" w:cs="宋体" w:hint="eastAsia"/>
          <w:color w:val="000000"/>
          <w:kern w:val="0"/>
          <w:sz w:val="28"/>
          <w:szCs w:val="32"/>
        </w:rPr>
        <w:t>指定将信托资金</w:t>
      </w:r>
      <w:r w:rsidR="003C3B19" w:rsidRPr="00B12B04">
        <w:rPr>
          <w:rFonts w:asciiTheme="minorEastAsia" w:eastAsiaTheme="minorEastAsia" w:hAnsiTheme="minorEastAsia" w:cs="宋体" w:hint="eastAsia"/>
          <w:color w:val="000000"/>
          <w:kern w:val="0"/>
          <w:sz w:val="28"/>
          <w:szCs w:val="32"/>
        </w:rPr>
        <w:t>2.8亿元</w:t>
      </w:r>
      <w:r w:rsidR="00451AF7" w:rsidRPr="00B12B04">
        <w:rPr>
          <w:rFonts w:asciiTheme="minorEastAsia" w:eastAsiaTheme="minorEastAsia" w:hAnsiTheme="minorEastAsia" w:cs="宋体" w:hint="eastAsia"/>
          <w:color w:val="000000"/>
          <w:kern w:val="0"/>
          <w:sz w:val="28"/>
          <w:szCs w:val="32"/>
        </w:rPr>
        <w:t>由受托人</w:t>
      </w:r>
      <w:r w:rsidR="007C0009" w:rsidRPr="00B12B04">
        <w:rPr>
          <w:rFonts w:asciiTheme="minorEastAsia" w:eastAsiaTheme="minorEastAsia" w:hAnsiTheme="minorEastAsia" w:cs="宋体" w:hint="eastAsia"/>
          <w:color w:val="000000"/>
          <w:kern w:val="0"/>
          <w:sz w:val="28"/>
          <w:szCs w:val="32"/>
        </w:rPr>
        <w:t>华澳信托</w:t>
      </w:r>
      <w:r w:rsidR="00451AF7" w:rsidRPr="00B12B04">
        <w:rPr>
          <w:rFonts w:asciiTheme="minorEastAsia" w:eastAsiaTheme="minorEastAsia" w:hAnsiTheme="minorEastAsia" w:cs="宋体" w:hint="eastAsia"/>
          <w:color w:val="000000"/>
          <w:kern w:val="0"/>
          <w:sz w:val="28"/>
          <w:szCs w:val="32"/>
        </w:rPr>
        <w:t>管理，用于向</w:t>
      </w:r>
      <w:r w:rsidR="000E16E8" w:rsidRPr="00B12B04">
        <w:rPr>
          <w:rFonts w:asciiTheme="minorEastAsia" w:eastAsiaTheme="minorEastAsia" w:hAnsiTheme="minorEastAsia" w:cs="宋体" w:hint="eastAsia"/>
          <w:color w:val="000000"/>
          <w:kern w:val="0"/>
          <w:sz w:val="28"/>
          <w:szCs w:val="32"/>
        </w:rPr>
        <w:t>浙江联众建设有限公司（以下简称浙江联众公司）</w:t>
      </w:r>
      <w:r w:rsidR="00451AF7" w:rsidRPr="00B12B04">
        <w:rPr>
          <w:rFonts w:asciiTheme="minorEastAsia" w:eastAsiaTheme="minorEastAsia" w:hAnsiTheme="minorEastAsia" w:cs="宋体" w:hint="eastAsia"/>
          <w:color w:val="000000"/>
          <w:kern w:val="0"/>
          <w:sz w:val="28"/>
          <w:szCs w:val="32"/>
        </w:rPr>
        <w:t>发放贷款。</w:t>
      </w:r>
      <w:r w:rsidR="00F33175" w:rsidRPr="00B12B04">
        <w:rPr>
          <w:rFonts w:asciiTheme="minorEastAsia" w:eastAsiaTheme="minorEastAsia" w:hAnsiTheme="minorEastAsia" w:cs="宋体" w:hint="eastAsia"/>
          <w:color w:val="000000"/>
          <w:kern w:val="0"/>
          <w:sz w:val="28"/>
          <w:szCs w:val="32"/>
        </w:rPr>
        <w:t>嗣后，</w:t>
      </w:r>
      <w:r w:rsidR="00EC1C7F" w:rsidRPr="00B12B04">
        <w:rPr>
          <w:rFonts w:asciiTheme="minorEastAsia" w:eastAsiaTheme="minorEastAsia" w:hAnsiTheme="minorEastAsia" w:cs="宋体" w:hint="eastAsia"/>
          <w:color w:val="000000"/>
          <w:kern w:val="0"/>
          <w:sz w:val="28"/>
          <w:szCs w:val="32"/>
        </w:rPr>
        <w:t>上海寅</w:t>
      </w:r>
      <w:proofErr w:type="gramStart"/>
      <w:r w:rsidR="00EC1C7F" w:rsidRPr="00B12B04">
        <w:rPr>
          <w:rFonts w:asciiTheme="minorEastAsia" w:eastAsiaTheme="minorEastAsia" w:hAnsiTheme="minorEastAsia" w:cs="宋体" w:hint="eastAsia"/>
          <w:color w:val="000000"/>
          <w:kern w:val="0"/>
          <w:sz w:val="28"/>
          <w:szCs w:val="32"/>
        </w:rPr>
        <w:t>浔</w:t>
      </w:r>
      <w:proofErr w:type="gramEnd"/>
      <w:r w:rsidR="00451AF7" w:rsidRPr="00B12B04">
        <w:rPr>
          <w:rFonts w:asciiTheme="minorEastAsia" w:eastAsiaTheme="minorEastAsia" w:hAnsiTheme="minorEastAsia" w:cs="宋体" w:hint="eastAsia"/>
          <w:color w:val="000000"/>
          <w:kern w:val="0"/>
          <w:sz w:val="28"/>
          <w:szCs w:val="32"/>
        </w:rPr>
        <w:t>以</w:t>
      </w:r>
      <w:r w:rsidR="00607E96" w:rsidRPr="00B12B04">
        <w:rPr>
          <w:rFonts w:asciiTheme="minorEastAsia" w:eastAsiaTheme="minorEastAsia" w:hAnsiTheme="minorEastAsia" w:cs="宋体" w:hint="eastAsia"/>
          <w:color w:val="000000"/>
          <w:kern w:val="0"/>
          <w:sz w:val="28"/>
          <w:szCs w:val="32"/>
        </w:rPr>
        <w:t>“浙江联众杭州保障房投资基金项目”</w:t>
      </w:r>
      <w:r w:rsidR="00451AF7" w:rsidRPr="00B12B04">
        <w:rPr>
          <w:rFonts w:asciiTheme="minorEastAsia" w:eastAsiaTheme="minorEastAsia" w:hAnsiTheme="minorEastAsia" w:cs="宋体" w:hint="eastAsia"/>
          <w:color w:val="000000"/>
          <w:kern w:val="0"/>
          <w:sz w:val="28"/>
          <w:szCs w:val="32"/>
        </w:rPr>
        <w:t>为名向社会公众募集资金，募集文件中载明产品类型为</w:t>
      </w:r>
      <w:r w:rsidR="000A0FDE" w:rsidRPr="00B12B04">
        <w:rPr>
          <w:rFonts w:asciiTheme="minorEastAsia" w:eastAsiaTheme="minorEastAsia" w:hAnsiTheme="minorEastAsia" w:cs="宋体" w:hint="eastAsia"/>
          <w:color w:val="000000"/>
          <w:kern w:val="0"/>
          <w:sz w:val="28"/>
          <w:szCs w:val="32"/>
        </w:rPr>
        <w:t>“华澳信托联众单一资金信托贷款有限合伙基金</w:t>
      </w:r>
      <w:r w:rsidR="00095459" w:rsidRPr="00B12B04">
        <w:rPr>
          <w:rFonts w:asciiTheme="minorEastAsia" w:eastAsiaTheme="minorEastAsia" w:hAnsiTheme="minorEastAsia" w:cs="宋体" w:hint="eastAsia"/>
          <w:color w:val="000000"/>
          <w:kern w:val="0"/>
          <w:sz w:val="28"/>
          <w:szCs w:val="32"/>
        </w:rPr>
        <w:t>”</w:t>
      </w:r>
      <w:r w:rsidR="00577752" w:rsidRPr="00B12B04">
        <w:rPr>
          <w:rFonts w:asciiTheme="minorEastAsia" w:eastAsiaTheme="minorEastAsia" w:hAnsiTheme="minorEastAsia" w:cs="宋体" w:hint="eastAsia"/>
          <w:color w:val="000000"/>
          <w:kern w:val="0"/>
          <w:sz w:val="28"/>
          <w:szCs w:val="32"/>
        </w:rPr>
        <w:t>，原告</w:t>
      </w:r>
      <w:r w:rsidR="00D54DA0" w:rsidRPr="00B12B04">
        <w:rPr>
          <w:rFonts w:asciiTheme="minorEastAsia" w:eastAsiaTheme="minorEastAsia" w:hAnsiTheme="minorEastAsia" w:cs="宋体" w:hint="eastAsia"/>
          <w:color w:val="000000"/>
          <w:kern w:val="0"/>
          <w:sz w:val="28"/>
          <w:szCs w:val="32"/>
        </w:rPr>
        <w:t>吴某</w:t>
      </w:r>
      <w:r w:rsidR="00451AF7" w:rsidRPr="00B12B04">
        <w:rPr>
          <w:rFonts w:asciiTheme="minorEastAsia" w:eastAsiaTheme="minorEastAsia" w:hAnsiTheme="minorEastAsia" w:cs="宋体" w:hint="eastAsia"/>
          <w:color w:val="000000"/>
          <w:kern w:val="0"/>
          <w:sz w:val="28"/>
          <w:szCs w:val="32"/>
        </w:rPr>
        <w:t>认购100</w:t>
      </w:r>
      <w:r w:rsidR="00F33175" w:rsidRPr="00B12B04">
        <w:rPr>
          <w:rFonts w:asciiTheme="minorEastAsia" w:eastAsiaTheme="minorEastAsia" w:hAnsiTheme="minorEastAsia" w:cs="宋体" w:hint="eastAsia"/>
          <w:color w:val="000000"/>
          <w:kern w:val="0"/>
          <w:sz w:val="28"/>
          <w:szCs w:val="32"/>
        </w:rPr>
        <w:t>万元。</w:t>
      </w:r>
      <w:r w:rsidR="00577752" w:rsidRPr="00B12B04">
        <w:rPr>
          <w:rFonts w:asciiTheme="minorEastAsia" w:eastAsiaTheme="minorEastAsia" w:hAnsiTheme="minorEastAsia" w:cs="宋体" w:hint="eastAsia"/>
          <w:color w:val="000000"/>
          <w:kern w:val="0"/>
          <w:sz w:val="28"/>
          <w:szCs w:val="32"/>
        </w:rPr>
        <w:t>其后，</w:t>
      </w:r>
      <w:r w:rsidR="007C0009" w:rsidRPr="00B12B04">
        <w:rPr>
          <w:rFonts w:asciiTheme="minorEastAsia" w:eastAsiaTheme="minorEastAsia" w:hAnsiTheme="minorEastAsia" w:cs="宋体" w:hint="eastAsia"/>
          <w:color w:val="000000"/>
          <w:kern w:val="0"/>
          <w:sz w:val="28"/>
          <w:szCs w:val="32"/>
        </w:rPr>
        <w:t>华澳信托</w:t>
      </w:r>
      <w:r w:rsidR="00451AF7" w:rsidRPr="00B12B04">
        <w:rPr>
          <w:rFonts w:asciiTheme="minorEastAsia" w:eastAsiaTheme="minorEastAsia" w:hAnsiTheme="minorEastAsia" w:cs="宋体" w:hint="eastAsia"/>
          <w:color w:val="000000"/>
          <w:kern w:val="0"/>
          <w:sz w:val="28"/>
          <w:szCs w:val="32"/>
        </w:rPr>
        <w:t>与</w:t>
      </w:r>
      <w:r w:rsidR="007C0009" w:rsidRPr="00B12B04">
        <w:rPr>
          <w:rFonts w:asciiTheme="minorEastAsia" w:eastAsiaTheme="minorEastAsia" w:hAnsiTheme="minorEastAsia" w:cs="宋体" w:hint="eastAsia"/>
          <w:color w:val="000000"/>
          <w:kern w:val="0"/>
          <w:sz w:val="28"/>
          <w:szCs w:val="32"/>
        </w:rPr>
        <w:t>浙江联众公司</w:t>
      </w:r>
      <w:r w:rsidR="00451AF7" w:rsidRPr="00B12B04">
        <w:rPr>
          <w:rFonts w:asciiTheme="minorEastAsia" w:eastAsiaTheme="minorEastAsia" w:hAnsiTheme="minorEastAsia" w:cs="宋体" w:hint="eastAsia"/>
          <w:color w:val="000000"/>
          <w:kern w:val="0"/>
          <w:sz w:val="28"/>
          <w:szCs w:val="32"/>
        </w:rPr>
        <w:t>签订《流动资金贷款合同》，</w:t>
      </w:r>
      <w:r w:rsidR="007C0009" w:rsidRPr="00B12B04">
        <w:rPr>
          <w:rFonts w:asciiTheme="minorEastAsia" w:eastAsiaTheme="minorEastAsia" w:hAnsiTheme="minorEastAsia" w:cs="宋体" w:hint="eastAsia"/>
          <w:color w:val="000000"/>
          <w:kern w:val="0"/>
          <w:sz w:val="28"/>
          <w:szCs w:val="32"/>
        </w:rPr>
        <w:t>华澳信托</w:t>
      </w:r>
      <w:r w:rsidR="00451AF7" w:rsidRPr="00B12B04">
        <w:rPr>
          <w:rFonts w:asciiTheme="minorEastAsia" w:eastAsiaTheme="minorEastAsia" w:hAnsiTheme="minorEastAsia" w:cs="宋体" w:hint="eastAsia"/>
          <w:color w:val="000000"/>
          <w:kern w:val="0"/>
          <w:sz w:val="28"/>
          <w:szCs w:val="32"/>
        </w:rPr>
        <w:t>根据《信托合同》约定将</w:t>
      </w:r>
      <w:r w:rsidR="00EC1C7F" w:rsidRPr="00B12B04">
        <w:rPr>
          <w:rFonts w:asciiTheme="minorEastAsia" w:eastAsiaTheme="minorEastAsia" w:hAnsiTheme="minorEastAsia" w:cs="宋体" w:hint="eastAsia"/>
          <w:color w:val="000000"/>
          <w:kern w:val="0"/>
          <w:sz w:val="28"/>
          <w:szCs w:val="32"/>
        </w:rPr>
        <w:t>上海寅</w:t>
      </w:r>
      <w:proofErr w:type="gramStart"/>
      <w:r w:rsidR="00EC1C7F" w:rsidRPr="00B12B04">
        <w:rPr>
          <w:rFonts w:asciiTheme="minorEastAsia" w:eastAsiaTheme="minorEastAsia" w:hAnsiTheme="minorEastAsia" w:cs="宋体" w:hint="eastAsia"/>
          <w:color w:val="000000"/>
          <w:kern w:val="0"/>
          <w:sz w:val="28"/>
          <w:szCs w:val="32"/>
        </w:rPr>
        <w:t>浔</w:t>
      </w:r>
      <w:proofErr w:type="gramEnd"/>
      <w:r w:rsidR="00451AF7" w:rsidRPr="00B12B04">
        <w:rPr>
          <w:rFonts w:asciiTheme="minorEastAsia" w:eastAsiaTheme="minorEastAsia" w:hAnsiTheme="minorEastAsia" w:cs="宋体" w:hint="eastAsia"/>
          <w:color w:val="000000"/>
          <w:kern w:val="0"/>
          <w:sz w:val="28"/>
          <w:szCs w:val="32"/>
        </w:rPr>
        <w:t>交付的信托资金（包含</w:t>
      </w:r>
      <w:r w:rsidR="00D54DA0" w:rsidRPr="00B12B04">
        <w:rPr>
          <w:rFonts w:asciiTheme="minorEastAsia" w:eastAsiaTheme="minorEastAsia" w:hAnsiTheme="minorEastAsia" w:cs="宋体" w:hint="eastAsia"/>
          <w:color w:val="000000"/>
          <w:kern w:val="0"/>
          <w:sz w:val="28"/>
          <w:szCs w:val="32"/>
        </w:rPr>
        <w:t>吴某</w:t>
      </w:r>
      <w:r w:rsidR="00451AF7" w:rsidRPr="00B12B04">
        <w:rPr>
          <w:rFonts w:asciiTheme="minorEastAsia" w:eastAsiaTheme="minorEastAsia" w:hAnsiTheme="minorEastAsia" w:cs="宋体" w:hint="eastAsia"/>
          <w:color w:val="000000"/>
          <w:kern w:val="0"/>
          <w:sz w:val="28"/>
          <w:szCs w:val="32"/>
        </w:rPr>
        <w:t>的投资款）向</w:t>
      </w:r>
      <w:r w:rsidR="007C0009" w:rsidRPr="00B12B04">
        <w:rPr>
          <w:rFonts w:asciiTheme="minorEastAsia" w:eastAsiaTheme="minorEastAsia" w:hAnsiTheme="minorEastAsia" w:cs="宋体" w:hint="eastAsia"/>
          <w:color w:val="000000"/>
          <w:kern w:val="0"/>
          <w:sz w:val="28"/>
          <w:szCs w:val="32"/>
        </w:rPr>
        <w:t>浙江联众公司</w:t>
      </w:r>
      <w:r w:rsidR="00451AF7" w:rsidRPr="00B12B04">
        <w:rPr>
          <w:rFonts w:asciiTheme="minorEastAsia" w:eastAsiaTheme="minorEastAsia" w:hAnsiTheme="minorEastAsia" w:cs="宋体" w:hint="eastAsia"/>
          <w:color w:val="000000"/>
          <w:kern w:val="0"/>
          <w:sz w:val="28"/>
          <w:szCs w:val="32"/>
        </w:rPr>
        <w:t>发放贷款。基金到期后，</w:t>
      </w:r>
      <w:r w:rsidR="00EC1C7F" w:rsidRPr="00B12B04">
        <w:rPr>
          <w:rFonts w:asciiTheme="minorEastAsia" w:eastAsiaTheme="minorEastAsia" w:hAnsiTheme="minorEastAsia" w:cs="宋体" w:hint="eastAsia"/>
          <w:color w:val="000000"/>
          <w:kern w:val="0"/>
          <w:sz w:val="28"/>
          <w:szCs w:val="32"/>
        </w:rPr>
        <w:t>上海寅</w:t>
      </w:r>
      <w:proofErr w:type="gramStart"/>
      <w:r w:rsidR="00EC1C7F" w:rsidRPr="00B12B04">
        <w:rPr>
          <w:rFonts w:asciiTheme="minorEastAsia" w:eastAsiaTheme="minorEastAsia" w:hAnsiTheme="minorEastAsia" w:cs="宋体" w:hint="eastAsia"/>
          <w:color w:val="000000"/>
          <w:kern w:val="0"/>
          <w:sz w:val="28"/>
          <w:szCs w:val="32"/>
        </w:rPr>
        <w:t>浔</w:t>
      </w:r>
      <w:proofErr w:type="gramEnd"/>
      <w:r w:rsidR="00451AF7" w:rsidRPr="00B12B04">
        <w:rPr>
          <w:rFonts w:asciiTheme="minorEastAsia" w:eastAsiaTheme="minorEastAsia" w:hAnsiTheme="minorEastAsia" w:cs="宋体" w:hint="eastAsia"/>
          <w:color w:val="000000"/>
          <w:kern w:val="0"/>
          <w:sz w:val="28"/>
          <w:szCs w:val="32"/>
        </w:rPr>
        <w:t>未向</w:t>
      </w:r>
      <w:r w:rsidR="00D54DA0" w:rsidRPr="00B12B04">
        <w:rPr>
          <w:rFonts w:asciiTheme="minorEastAsia" w:eastAsiaTheme="minorEastAsia" w:hAnsiTheme="minorEastAsia" w:cs="宋体" w:hint="eastAsia"/>
          <w:color w:val="000000"/>
          <w:kern w:val="0"/>
          <w:sz w:val="28"/>
          <w:szCs w:val="32"/>
        </w:rPr>
        <w:t>吴某</w:t>
      </w:r>
      <w:r w:rsidR="00451AF7" w:rsidRPr="00B12B04">
        <w:rPr>
          <w:rFonts w:asciiTheme="minorEastAsia" w:eastAsiaTheme="minorEastAsia" w:hAnsiTheme="minorEastAsia" w:cs="宋体" w:hint="eastAsia"/>
          <w:color w:val="000000"/>
          <w:kern w:val="0"/>
          <w:sz w:val="28"/>
          <w:szCs w:val="32"/>
        </w:rPr>
        <w:t>返还本金。</w:t>
      </w:r>
    </w:p>
    <w:p w:rsidR="00451AF7" w:rsidRPr="00B12B04" w:rsidRDefault="00451AF7" w:rsidP="00B12B04">
      <w:pPr>
        <w:widowControl/>
        <w:snapToGrid w:val="0"/>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经查，</w:t>
      </w:r>
      <w:r w:rsidR="00D54DA0" w:rsidRPr="00B12B04">
        <w:rPr>
          <w:rFonts w:asciiTheme="minorEastAsia" w:eastAsiaTheme="minorEastAsia" w:hAnsiTheme="minorEastAsia" w:cs="宋体" w:hint="eastAsia"/>
          <w:color w:val="000000"/>
          <w:kern w:val="0"/>
          <w:sz w:val="28"/>
          <w:szCs w:val="32"/>
        </w:rPr>
        <w:t>吴某</w:t>
      </w:r>
      <w:r w:rsidRPr="00B12B04">
        <w:rPr>
          <w:rFonts w:asciiTheme="minorEastAsia" w:eastAsiaTheme="minorEastAsia" w:hAnsiTheme="minorEastAsia" w:cs="宋体" w:hint="eastAsia"/>
          <w:color w:val="000000"/>
          <w:kern w:val="0"/>
          <w:sz w:val="28"/>
          <w:szCs w:val="32"/>
        </w:rPr>
        <w:t>的投资款100万元被</w:t>
      </w:r>
      <w:r w:rsidR="00EC1C7F" w:rsidRPr="00B12B04">
        <w:rPr>
          <w:rFonts w:asciiTheme="minorEastAsia" w:eastAsiaTheme="minorEastAsia" w:hAnsiTheme="minorEastAsia" w:cs="宋体" w:hint="eastAsia"/>
          <w:color w:val="000000"/>
          <w:kern w:val="0"/>
          <w:sz w:val="28"/>
          <w:szCs w:val="32"/>
        </w:rPr>
        <w:t>上海寅</w:t>
      </w:r>
      <w:proofErr w:type="gramStart"/>
      <w:r w:rsidR="00EC1C7F" w:rsidRPr="00B12B04">
        <w:rPr>
          <w:rFonts w:asciiTheme="minorEastAsia" w:eastAsiaTheme="minorEastAsia" w:hAnsiTheme="minorEastAsia" w:cs="宋体" w:hint="eastAsia"/>
          <w:color w:val="000000"/>
          <w:kern w:val="0"/>
          <w:sz w:val="28"/>
          <w:szCs w:val="32"/>
        </w:rPr>
        <w:t>浔</w:t>
      </w:r>
      <w:proofErr w:type="gramEnd"/>
      <w:r w:rsidRPr="00B12B04">
        <w:rPr>
          <w:rFonts w:asciiTheme="minorEastAsia" w:eastAsiaTheme="minorEastAsia" w:hAnsiTheme="minorEastAsia" w:cs="宋体" w:hint="eastAsia"/>
          <w:color w:val="000000"/>
          <w:kern w:val="0"/>
          <w:sz w:val="28"/>
          <w:szCs w:val="32"/>
        </w:rPr>
        <w:t>执行事务合伙人委派代表</w:t>
      </w:r>
      <w:r w:rsidR="00D54DA0" w:rsidRPr="00B12B04">
        <w:rPr>
          <w:rFonts w:asciiTheme="minorEastAsia" w:eastAsiaTheme="minorEastAsia" w:hAnsiTheme="minorEastAsia" w:cs="宋体" w:hint="eastAsia"/>
          <w:color w:val="000000"/>
          <w:kern w:val="0"/>
          <w:sz w:val="28"/>
          <w:szCs w:val="32"/>
        </w:rPr>
        <w:t>陈某志</w:t>
      </w:r>
      <w:r w:rsidRPr="00B12B04">
        <w:rPr>
          <w:rFonts w:asciiTheme="minorEastAsia" w:eastAsiaTheme="minorEastAsia" w:hAnsiTheme="minorEastAsia" w:cs="宋体" w:hint="eastAsia"/>
          <w:color w:val="000000"/>
          <w:kern w:val="0"/>
          <w:sz w:val="28"/>
          <w:szCs w:val="32"/>
        </w:rPr>
        <w:t>等人用于</w:t>
      </w:r>
      <w:proofErr w:type="gramStart"/>
      <w:r w:rsidRPr="00B12B04">
        <w:rPr>
          <w:rFonts w:asciiTheme="minorEastAsia" w:eastAsiaTheme="minorEastAsia" w:hAnsiTheme="minorEastAsia" w:cs="宋体" w:hint="eastAsia"/>
          <w:color w:val="000000"/>
          <w:kern w:val="0"/>
          <w:sz w:val="28"/>
          <w:szCs w:val="32"/>
        </w:rPr>
        <w:t>归还案</w:t>
      </w:r>
      <w:proofErr w:type="gramEnd"/>
      <w:r w:rsidRPr="00B12B04">
        <w:rPr>
          <w:rFonts w:asciiTheme="minorEastAsia" w:eastAsiaTheme="minorEastAsia" w:hAnsiTheme="minorEastAsia" w:cs="宋体" w:hint="eastAsia"/>
          <w:color w:val="000000"/>
          <w:kern w:val="0"/>
          <w:sz w:val="28"/>
          <w:szCs w:val="32"/>
        </w:rPr>
        <w:t>外人</w:t>
      </w:r>
      <w:r w:rsidR="007C0009" w:rsidRPr="00B12B04">
        <w:rPr>
          <w:rFonts w:asciiTheme="minorEastAsia" w:eastAsiaTheme="minorEastAsia" w:hAnsiTheme="minorEastAsia" w:cs="宋体" w:hint="eastAsia"/>
          <w:color w:val="000000"/>
          <w:kern w:val="0"/>
          <w:sz w:val="28"/>
          <w:szCs w:val="32"/>
        </w:rPr>
        <w:t>辽阳</w:t>
      </w:r>
      <w:proofErr w:type="gramStart"/>
      <w:r w:rsidR="007C0009" w:rsidRPr="00B12B04">
        <w:rPr>
          <w:rFonts w:asciiTheme="minorEastAsia" w:eastAsiaTheme="minorEastAsia" w:hAnsiTheme="minorEastAsia" w:cs="宋体" w:hint="eastAsia"/>
          <w:color w:val="000000"/>
          <w:kern w:val="0"/>
          <w:sz w:val="28"/>
          <w:szCs w:val="32"/>
        </w:rPr>
        <w:t>红美置业</w:t>
      </w:r>
      <w:proofErr w:type="gramEnd"/>
      <w:r w:rsidR="007C0009" w:rsidRPr="00B12B04">
        <w:rPr>
          <w:rFonts w:asciiTheme="minorEastAsia" w:eastAsiaTheme="minorEastAsia" w:hAnsiTheme="minorEastAsia" w:cs="宋体" w:hint="eastAsia"/>
          <w:color w:val="000000"/>
          <w:kern w:val="0"/>
          <w:sz w:val="28"/>
          <w:szCs w:val="32"/>
        </w:rPr>
        <w:t>有限公司</w:t>
      </w:r>
      <w:r w:rsidRPr="00B12B04">
        <w:rPr>
          <w:rFonts w:asciiTheme="minorEastAsia" w:eastAsiaTheme="minorEastAsia" w:hAnsiTheme="minorEastAsia" w:cs="宋体" w:hint="eastAsia"/>
          <w:color w:val="000000"/>
          <w:kern w:val="0"/>
          <w:sz w:val="28"/>
          <w:szCs w:val="32"/>
        </w:rPr>
        <w:t>股东的对外债务。</w:t>
      </w:r>
      <w:r w:rsidR="00306E59" w:rsidRPr="00B12B04">
        <w:rPr>
          <w:rFonts w:asciiTheme="minorEastAsia" w:eastAsiaTheme="minorEastAsia" w:hAnsiTheme="minorEastAsia" w:cs="宋体" w:hint="eastAsia"/>
          <w:color w:val="000000"/>
          <w:kern w:val="0"/>
          <w:sz w:val="28"/>
          <w:szCs w:val="32"/>
        </w:rPr>
        <w:t>2018年，上海市</w:t>
      </w:r>
      <w:r w:rsidR="003F2A26" w:rsidRPr="00B12B04">
        <w:rPr>
          <w:rFonts w:asciiTheme="minorEastAsia" w:eastAsiaTheme="minorEastAsia" w:hAnsiTheme="minorEastAsia" w:cs="宋体" w:hint="eastAsia"/>
          <w:color w:val="000000"/>
          <w:kern w:val="0"/>
          <w:sz w:val="28"/>
          <w:szCs w:val="32"/>
        </w:rPr>
        <w:t>第一中级人民法院</w:t>
      </w:r>
      <w:proofErr w:type="gramStart"/>
      <w:r w:rsidR="00306E59" w:rsidRPr="00B12B04">
        <w:rPr>
          <w:rFonts w:asciiTheme="minorEastAsia" w:eastAsiaTheme="minorEastAsia" w:hAnsiTheme="minorEastAsia" w:cs="宋体" w:hint="eastAsia"/>
          <w:color w:val="000000"/>
          <w:kern w:val="0"/>
          <w:sz w:val="28"/>
          <w:szCs w:val="32"/>
        </w:rPr>
        <w:t>作出</w:t>
      </w:r>
      <w:proofErr w:type="gramEnd"/>
      <w:r w:rsidR="00306E59" w:rsidRPr="00B12B04">
        <w:rPr>
          <w:rFonts w:asciiTheme="minorEastAsia" w:eastAsiaTheme="minorEastAsia" w:hAnsiTheme="minorEastAsia" w:cs="宋体" w:hint="eastAsia"/>
          <w:color w:val="000000"/>
          <w:kern w:val="0"/>
          <w:sz w:val="28"/>
          <w:szCs w:val="32"/>
        </w:rPr>
        <w:t>刑事判决，认定</w:t>
      </w:r>
      <w:r w:rsidR="007C0009" w:rsidRPr="00B12B04">
        <w:rPr>
          <w:rFonts w:asciiTheme="minorEastAsia" w:eastAsiaTheme="minorEastAsia" w:hAnsiTheme="minorEastAsia" w:cs="宋体" w:hint="eastAsia"/>
          <w:color w:val="000000"/>
          <w:kern w:val="0"/>
          <w:sz w:val="28"/>
          <w:szCs w:val="32"/>
        </w:rPr>
        <w:t>浙江联众公司</w:t>
      </w:r>
      <w:r w:rsidR="0020159D" w:rsidRPr="00B12B04">
        <w:rPr>
          <w:rFonts w:asciiTheme="minorEastAsia" w:eastAsiaTheme="minorEastAsia" w:hAnsiTheme="minorEastAsia" w:cs="宋体" w:hint="eastAsia"/>
          <w:color w:val="000000"/>
          <w:kern w:val="0"/>
          <w:sz w:val="28"/>
          <w:szCs w:val="32"/>
        </w:rPr>
        <w:t>系由陈某志实际控制，其通过伪造</w:t>
      </w:r>
      <w:r w:rsidR="007C0009" w:rsidRPr="00B12B04">
        <w:rPr>
          <w:rFonts w:asciiTheme="minorEastAsia" w:eastAsiaTheme="minorEastAsia" w:hAnsiTheme="minorEastAsia" w:cs="宋体" w:hint="eastAsia"/>
          <w:color w:val="000000"/>
          <w:kern w:val="0"/>
          <w:sz w:val="28"/>
          <w:szCs w:val="32"/>
        </w:rPr>
        <w:t>浙江联众公司</w:t>
      </w:r>
      <w:r w:rsidR="00CB0116" w:rsidRPr="00B12B04">
        <w:rPr>
          <w:rFonts w:asciiTheme="minorEastAsia" w:eastAsiaTheme="minorEastAsia" w:hAnsiTheme="minorEastAsia" w:cs="宋体" w:hint="eastAsia"/>
          <w:color w:val="000000"/>
          <w:kern w:val="0"/>
          <w:sz w:val="28"/>
          <w:szCs w:val="32"/>
        </w:rPr>
        <w:t>承建</w:t>
      </w:r>
      <w:r w:rsidR="00D51507" w:rsidRPr="00B12B04">
        <w:rPr>
          <w:rFonts w:asciiTheme="minorEastAsia" w:eastAsiaTheme="minorEastAsia" w:hAnsiTheme="minorEastAsia" w:cs="宋体" w:hint="eastAsia"/>
          <w:color w:val="000000"/>
          <w:kern w:val="0"/>
          <w:sz w:val="28"/>
          <w:szCs w:val="32"/>
        </w:rPr>
        <w:t>杭州保障房项目的合同等材料，与王某</w:t>
      </w:r>
      <w:r w:rsidRPr="00B12B04">
        <w:rPr>
          <w:rFonts w:asciiTheme="minorEastAsia" w:eastAsiaTheme="minorEastAsia" w:hAnsiTheme="minorEastAsia" w:cs="宋体" w:hint="eastAsia"/>
          <w:color w:val="000000"/>
          <w:kern w:val="0"/>
          <w:sz w:val="28"/>
          <w:szCs w:val="32"/>
        </w:rPr>
        <w:t>使用</w:t>
      </w:r>
      <w:r w:rsidR="00EC1C7F" w:rsidRPr="00B12B04">
        <w:rPr>
          <w:rFonts w:asciiTheme="minorEastAsia" w:eastAsiaTheme="minorEastAsia" w:hAnsiTheme="minorEastAsia" w:cs="宋体" w:hint="eastAsia"/>
          <w:color w:val="000000"/>
          <w:kern w:val="0"/>
          <w:sz w:val="28"/>
          <w:szCs w:val="32"/>
        </w:rPr>
        <w:t>上海寅</w:t>
      </w:r>
      <w:proofErr w:type="gramStart"/>
      <w:r w:rsidR="00EC1C7F" w:rsidRPr="00B12B04">
        <w:rPr>
          <w:rFonts w:asciiTheme="minorEastAsia" w:eastAsiaTheme="minorEastAsia" w:hAnsiTheme="minorEastAsia" w:cs="宋体" w:hint="eastAsia"/>
          <w:color w:val="000000"/>
          <w:kern w:val="0"/>
          <w:sz w:val="28"/>
          <w:szCs w:val="32"/>
        </w:rPr>
        <w:t>浔</w:t>
      </w:r>
      <w:proofErr w:type="gramEnd"/>
      <w:r w:rsidRPr="00B12B04">
        <w:rPr>
          <w:rFonts w:asciiTheme="minorEastAsia" w:eastAsiaTheme="minorEastAsia" w:hAnsiTheme="minorEastAsia" w:cs="宋体" w:hint="eastAsia"/>
          <w:color w:val="000000"/>
          <w:kern w:val="0"/>
          <w:sz w:val="28"/>
          <w:szCs w:val="32"/>
        </w:rPr>
        <w:t>的名义</w:t>
      </w:r>
      <w:r w:rsidR="00D51507" w:rsidRPr="00B12B04">
        <w:rPr>
          <w:rFonts w:asciiTheme="minorEastAsia" w:eastAsiaTheme="minorEastAsia" w:hAnsiTheme="minorEastAsia" w:cs="宋体" w:hint="eastAsia"/>
          <w:color w:val="000000"/>
          <w:kern w:val="0"/>
          <w:sz w:val="28"/>
          <w:szCs w:val="32"/>
        </w:rPr>
        <w:t>以高额利息向社会公众销售</w:t>
      </w:r>
      <w:r w:rsidR="007C0009" w:rsidRPr="00B12B04">
        <w:rPr>
          <w:rFonts w:asciiTheme="minorEastAsia" w:eastAsiaTheme="minorEastAsia" w:hAnsiTheme="minorEastAsia" w:cs="宋体" w:hint="eastAsia"/>
          <w:color w:val="000000"/>
          <w:kern w:val="0"/>
          <w:sz w:val="28"/>
          <w:szCs w:val="32"/>
        </w:rPr>
        <w:t>“浙江联众杭州保障房投资基金项目”</w:t>
      </w:r>
      <w:r w:rsidRPr="00B12B04">
        <w:rPr>
          <w:rFonts w:asciiTheme="minorEastAsia" w:eastAsiaTheme="minorEastAsia" w:hAnsiTheme="minorEastAsia" w:cs="宋体" w:hint="eastAsia"/>
          <w:color w:val="000000"/>
          <w:kern w:val="0"/>
          <w:sz w:val="28"/>
          <w:szCs w:val="32"/>
        </w:rPr>
        <w:t>，</w:t>
      </w:r>
      <w:r w:rsidR="00D51507" w:rsidRPr="00B12B04">
        <w:rPr>
          <w:rFonts w:asciiTheme="minorEastAsia" w:eastAsiaTheme="minorEastAsia" w:hAnsiTheme="minorEastAsia" w:cs="宋体" w:hint="eastAsia"/>
          <w:color w:val="000000"/>
          <w:kern w:val="0"/>
          <w:sz w:val="28"/>
          <w:szCs w:val="32"/>
        </w:rPr>
        <w:t>而后将募集资金</w:t>
      </w:r>
      <w:proofErr w:type="gramStart"/>
      <w:r w:rsidR="00D51507" w:rsidRPr="00B12B04">
        <w:rPr>
          <w:rFonts w:asciiTheme="minorEastAsia" w:eastAsiaTheme="minorEastAsia" w:hAnsiTheme="minorEastAsia" w:cs="宋体" w:hint="eastAsia"/>
          <w:color w:val="000000"/>
          <w:kern w:val="0"/>
          <w:sz w:val="28"/>
          <w:szCs w:val="32"/>
        </w:rPr>
        <w:t>打款至</w:t>
      </w:r>
      <w:r w:rsidR="007C0009" w:rsidRPr="00B12B04">
        <w:rPr>
          <w:rFonts w:asciiTheme="minorEastAsia" w:eastAsiaTheme="minorEastAsia" w:hAnsiTheme="minorEastAsia" w:cs="宋体" w:hint="eastAsia"/>
          <w:color w:val="000000"/>
          <w:kern w:val="0"/>
          <w:sz w:val="28"/>
          <w:szCs w:val="32"/>
        </w:rPr>
        <w:t>华</w:t>
      </w:r>
      <w:proofErr w:type="gramEnd"/>
      <w:r w:rsidR="007C0009" w:rsidRPr="00B12B04">
        <w:rPr>
          <w:rFonts w:asciiTheme="minorEastAsia" w:eastAsiaTheme="minorEastAsia" w:hAnsiTheme="minorEastAsia" w:cs="宋体" w:hint="eastAsia"/>
          <w:color w:val="000000"/>
          <w:kern w:val="0"/>
          <w:sz w:val="28"/>
          <w:szCs w:val="32"/>
        </w:rPr>
        <w:t>澳信托</w:t>
      </w:r>
      <w:r w:rsidR="00D51507" w:rsidRPr="00B12B04">
        <w:rPr>
          <w:rFonts w:asciiTheme="minorEastAsia" w:eastAsiaTheme="minorEastAsia" w:hAnsiTheme="minorEastAsia" w:cs="宋体" w:hint="eastAsia"/>
          <w:color w:val="000000"/>
          <w:kern w:val="0"/>
          <w:sz w:val="28"/>
          <w:szCs w:val="32"/>
        </w:rPr>
        <w:t>，</w:t>
      </w:r>
      <w:r w:rsidR="007C0009" w:rsidRPr="00B12B04">
        <w:rPr>
          <w:rFonts w:asciiTheme="minorEastAsia" w:eastAsiaTheme="minorEastAsia" w:hAnsiTheme="minorEastAsia" w:cs="宋体" w:hint="eastAsia"/>
          <w:color w:val="000000"/>
          <w:kern w:val="0"/>
          <w:sz w:val="28"/>
          <w:szCs w:val="32"/>
        </w:rPr>
        <w:t>华澳信托</w:t>
      </w:r>
      <w:r w:rsidRPr="00B12B04">
        <w:rPr>
          <w:rFonts w:asciiTheme="minorEastAsia" w:eastAsiaTheme="minorEastAsia" w:hAnsiTheme="minorEastAsia" w:cs="宋体" w:hint="eastAsia"/>
          <w:color w:val="000000"/>
          <w:kern w:val="0"/>
          <w:sz w:val="28"/>
          <w:szCs w:val="32"/>
        </w:rPr>
        <w:t>再贷款给</w:t>
      </w:r>
      <w:r w:rsidR="007C0009" w:rsidRPr="00B12B04">
        <w:rPr>
          <w:rFonts w:asciiTheme="minorEastAsia" w:eastAsiaTheme="minorEastAsia" w:hAnsiTheme="minorEastAsia" w:cs="宋体" w:hint="eastAsia"/>
          <w:color w:val="000000"/>
          <w:kern w:val="0"/>
          <w:sz w:val="28"/>
          <w:szCs w:val="32"/>
        </w:rPr>
        <w:t>浙江联众公司</w:t>
      </w:r>
      <w:r w:rsidRPr="00B12B04">
        <w:rPr>
          <w:rFonts w:asciiTheme="minorEastAsia" w:eastAsiaTheme="minorEastAsia" w:hAnsiTheme="minorEastAsia" w:cs="宋体" w:hint="eastAsia"/>
          <w:color w:val="000000"/>
          <w:kern w:val="0"/>
          <w:sz w:val="28"/>
          <w:szCs w:val="32"/>
        </w:rPr>
        <w:t>。</w:t>
      </w:r>
      <w:r w:rsidR="007C0009" w:rsidRPr="00B12B04">
        <w:rPr>
          <w:rFonts w:asciiTheme="minorEastAsia" w:eastAsiaTheme="minorEastAsia" w:hAnsiTheme="minorEastAsia" w:cs="宋体" w:hint="eastAsia"/>
          <w:color w:val="000000"/>
          <w:kern w:val="0"/>
          <w:sz w:val="28"/>
          <w:szCs w:val="32"/>
        </w:rPr>
        <w:t>浙江联众公司</w:t>
      </w:r>
      <w:r w:rsidRPr="00B12B04">
        <w:rPr>
          <w:rFonts w:asciiTheme="minorEastAsia" w:eastAsiaTheme="minorEastAsia" w:hAnsiTheme="minorEastAsia" w:cs="宋体" w:hint="eastAsia"/>
          <w:color w:val="000000"/>
          <w:kern w:val="0"/>
          <w:sz w:val="28"/>
          <w:szCs w:val="32"/>
        </w:rPr>
        <w:t>收到后</w:t>
      </w:r>
      <w:r w:rsidR="00D51507" w:rsidRPr="00B12B04">
        <w:rPr>
          <w:rFonts w:asciiTheme="minorEastAsia" w:eastAsiaTheme="minorEastAsia" w:hAnsiTheme="minorEastAsia" w:cs="宋体" w:hint="eastAsia"/>
          <w:color w:val="000000"/>
          <w:kern w:val="0"/>
          <w:sz w:val="28"/>
          <w:szCs w:val="32"/>
        </w:rPr>
        <w:t>用以归还</w:t>
      </w:r>
      <w:r w:rsidR="007C0009" w:rsidRPr="00B12B04">
        <w:rPr>
          <w:rFonts w:asciiTheme="minorEastAsia" w:eastAsiaTheme="minorEastAsia" w:hAnsiTheme="minorEastAsia" w:cs="宋体" w:hint="eastAsia"/>
          <w:color w:val="000000"/>
          <w:kern w:val="0"/>
          <w:sz w:val="28"/>
          <w:szCs w:val="32"/>
        </w:rPr>
        <w:t>辽阳</w:t>
      </w:r>
      <w:proofErr w:type="gramStart"/>
      <w:r w:rsidR="007C0009" w:rsidRPr="00B12B04">
        <w:rPr>
          <w:rFonts w:asciiTheme="minorEastAsia" w:eastAsiaTheme="minorEastAsia" w:hAnsiTheme="minorEastAsia" w:cs="宋体" w:hint="eastAsia"/>
          <w:color w:val="000000"/>
          <w:kern w:val="0"/>
          <w:sz w:val="28"/>
          <w:szCs w:val="32"/>
        </w:rPr>
        <w:t>红美置业</w:t>
      </w:r>
      <w:proofErr w:type="gramEnd"/>
      <w:r w:rsidR="007C0009" w:rsidRPr="00B12B04">
        <w:rPr>
          <w:rFonts w:asciiTheme="minorEastAsia" w:eastAsiaTheme="minorEastAsia" w:hAnsiTheme="minorEastAsia" w:cs="宋体" w:hint="eastAsia"/>
          <w:color w:val="000000"/>
          <w:kern w:val="0"/>
          <w:sz w:val="28"/>
          <w:szCs w:val="32"/>
        </w:rPr>
        <w:t>有限公司</w:t>
      </w:r>
      <w:r w:rsidR="00D51507" w:rsidRPr="00B12B04">
        <w:rPr>
          <w:rFonts w:asciiTheme="minorEastAsia" w:eastAsiaTheme="minorEastAsia" w:hAnsiTheme="minorEastAsia" w:cs="宋体" w:hint="eastAsia"/>
          <w:color w:val="000000"/>
          <w:kern w:val="0"/>
          <w:sz w:val="28"/>
          <w:szCs w:val="32"/>
        </w:rPr>
        <w:t>股东的对外债务等。</w:t>
      </w:r>
    </w:p>
    <w:p w:rsidR="00076C39" w:rsidRDefault="00D54DA0" w:rsidP="00B12B04">
      <w:pPr>
        <w:widowControl/>
        <w:snapToGrid w:val="0"/>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吴某</w:t>
      </w:r>
      <w:r w:rsidR="00451AF7" w:rsidRPr="00B12B04">
        <w:rPr>
          <w:rFonts w:asciiTheme="minorEastAsia" w:eastAsiaTheme="minorEastAsia" w:hAnsiTheme="minorEastAsia" w:cs="宋体" w:hint="eastAsia"/>
          <w:color w:val="000000"/>
          <w:kern w:val="0"/>
          <w:sz w:val="28"/>
          <w:szCs w:val="32"/>
        </w:rPr>
        <w:t>起诉认为</w:t>
      </w:r>
      <w:r w:rsidR="007C0009" w:rsidRPr="00B12B04">
        <w:rPr>
          <w:rFonts w:asciiTheme="minorEastAsia" w:eastAsiaTheme="minorEastAsia" w:hAnsiTheme="minorEastAsia" w:cs="宋体" w:hint="eastAsia"/>
          <w:color w:val="000000"/>
          <w:kern w:val="0"/>
          <w:sz w:val="28"/>
          <w:szCs w:val="32"/>
        </w:rPr>
        <w:t>华澳信托</w:t>
      </w:r>
      <w:r w:rsidR="00451AF7" w:rsidRPr="00B12B04">
        <w:rPr>
          <w:rFonts w:asciiTheme="minorEastAsia" w:eastAsiaTheme="minorEastAsia" w:hAnsiTheme="minorEastAsia" w:cs="宋体" w:hint="eastAsia"/>
          <w:color w:val="000000"/>
          <w:kern w:val="0"/>
          <w:sz w:val="28"/>
          <w:szCs w:val="32"/>
        </w:rPr>
        <w:t>没有对</w:t>
      </w:r>
      <w:proofErr w:type="gramStart"/>
      <w:r w:rsidR="00451AF7" w:rsidRPr="00B12B04">
        <w:rPr>
          <w:rFonts w:asciiTheme="minorEastAsia" w:eastAsiaTheme="minorEastAsia" w:hAnsiTheme="minorEastAsia" w:cs="宋体" w:hint="eastAsia"/>
          <w:color w:val="000000"/>
          <w:kern w:val="0"/>
          <w:sz w:val="28"/>
          <w:szCs w:val="32"/>
        </w:rPr>
        <w:t>信托项目</w:t>
      </w:r>
      <w:proofErr w:type="gramEnd"/>
      <w:r w:rsidR="00451AF7" w:rsidRPr="00B12B04">
        <w:rPr>
          <w:rFonts w:asciiTheme="minorEastAsia" w:eastAsiaTheme="minorEastAsia" w:hAnsiTheme="minorEastAsia" w:cs="宋体" w:hint="eastAsia"/>
          <w:color w:val="000000"/>
          <w:kern w:val="0"/>
          <w:sz w:val="28"/>
          <w:szCs w:val="32"/>
        </w:rPr>
        <w:t>进行有效监管，导致损失，应当全额承担赔偿责任。上海市浦东新区人民法院</w:t>
      </w:r>
      <w:r w:rsidR="00680327" w:rsidRPr="00B12B04">
        <w:rPr>
          <w:rFonts w:asciiTheme="minorEastAsia" w:eastAsiaTheme="minorEastAsia" w:hAnsiTheme="minorEastAsia" w:cs="宋体" w:hint="eastAsia"/>
          <w:color w:val="000000"/>
          <w:kern w:val="0"/>
          <w:sz w:val="28"/>
          <w:szCs w:val="32"/>
        </w:rPr>
        <w:t>一审</w:t>
      </w:r>
      <w:r w:rsidRPr="00B12B04">
        <w:rPr>
          <w:rFonts w:asciiTheme="minorEastAsia" w:eastAsiaTheme="minorEastAsia" w:hAnsiTheme="minorEastAsia" w:cs="宋体" w:hint="eastAsia"/>
          <w:color w:val="000000"/>
          <w:kern w:val="0"/>
          <w:sz w:val="28"/>
          <w:szCs w:val="32"/>
        </w:rPr>
        <w:t>判决</w:t>
      </w:r>
      <w:r w:rsidR="007C0009" w:rsidRPr="00B12B04">
        <w:rPr>
          <w:rFonts w:asciiTheme="minorEastAsia" w:eastAsiaTheme="minorEastAsia" w:hAnsiTheme="minorEastAsia" w:cs="宋体" w:hint="eastAsia"/>
          <w:color w:val="000000"/>
          <w:kern w:val="0"/>
          <w:sz w:val="28"/>
          <w:szCs w:val="32"/>
        </w:rPr>
        <w:t>华澳</w:t>
      </w:r>
      <w:proofErr w:type="gramStart"/>
      <w:r w:rsidR="007C0009" w:rsidRPr="00B12B04">
        <w:rPr>
          <w:rFonts w:asciiTheme="minorEastAsia" w:eastAsiaTheme="minorEastAsia" w:hAnsiTheme="minorEastAsia" w:cs="宋体" w:hint="eastAsia"/>
          <w:color w:val="000000"/>
          <w:kern w:val="0"/>
          <w:sz w:val="28"/>
          <w:szCs w:val="32"/>
        </w:rPr>
        <w:t>信托</w:t>
      </w:r>
      <w:r w:rsidR="00451AF7" w:rsidRPr="00B12B04">
        <w:rPr>
          <w:rFonts w:asciiTheme="minorEastAsia" w:eastAsiaTheme="minorEastAsia" w:hAnsiTheme="minorEastAsia" w:cs="宋体" w:hint="eastAsia"/>
          <w:color w:val="000000"/>
          <w:kern w:val="0"/>
          <w:sz w:val="28"/>
          <w:szCs w:val="32"/>
        </w:rPr>
        <w:t>对</w:t>
      </w:r>
      <w:proofErr w:type="gramEnd"/>
      <w:r w:rsidRPr="00B12B04">
        <w:rPr>
          <w:rFonts w:asciiTheme="minorEastAsia" w:eastAsiaTheme="minorEastAsia" w:hAnsiTheme="minorEastAsia" w:cs="宋体" w:hint="eastAsia"/>
          <w:color w:val="000000"/>
          <w:kern w:val="0"/>
          <w:sz w:val="28"/>
          <w:szCs w:val="32"/>
        </w:rPr>
        <w:t>吴某</w:t>
      </w:r>
      <w:r w:rsidR="00451AF7" w:rsidRPr="00B12B04">
        <w:rPr>
          <w:rFonts w:asciiTheme="minorEastAsia" w:eastAsiaTheme="minorEastAsia" w:hAnsiTheme="minorEastAsia" w:cs="宋体" w:hint="eastAsia"/>
          <w:color w:val="000000"/>
          <w:kern w:val="0"/>
          <w:sz w:val="28"/>
          <w:szCs w:val="32"/>
        </w:rPr>
        <w:t>根据刑事判决通过追赃程序追索不成的损失在20万元的范围内承担补充赔偿责任</w:t>
      </w:r>
      <w:r w:rsidRPr="00B12B04">
        <w:rPr>
          <w:rFonts w:asciiTheme="minorEastAsia" w:eastAsiaTheme="minorEastAsia" w:hAnsiTheme="minorEastAsia" w:cs="宋体" w:hint="eastAsia"/>
          <w:color w:val="000000"/>
          <w:kern w:val="0"/>
          <w:sz w:val="28"/>
          <w:szCs w:val="32"/>
        </w:rPr>
        <w:t>；</w:t>
      </w:r>
      <w:r w:rsidR="004F6B9C" w:rsidRPr="00B12B04">
        <w:rPr>
          <w:rFonts w:asciiTheme="minorEastAsia" w:eastAsiaTheme="minorEastAsia" w:hAnsiTheme="minorEastAsia" w:cs="宋体" w:hint="eastAsia"/>
          <w:color w:val="000000"/>
          <w:kern w:val="0"/>
          <w:sz w:val="28"/>
          <w:szCs w:val="32"/>
        </w:rPr>
        <w:t>驳回吴某的其余诉讼请求</w:t>
      </w:r>
      <w:r w:rsidR="00451AF7" w:rsidRPr="00B12B04">
        <w:rPr>
          <w:rFonts w:asciiTheme="minorEastAsia" w:eastAsiaTheme="minorEastAsia" w:hAnsiTheme="minorEastAsia" w:cs="宋体" w:hint="eastAsia"/>
          <w:color w:val="000000"/>
          <w:kern w:val="0"/>
          <w:sz w:val="28"/>
          <w:szCs w:val="32"/>
        </w:rPr>
        <w:t>。</w:t>
      </w:r>
      <w:r w:rsidRPr="00B12B04">
        <w:rPr>
          <w:rFonts w:asciiTheme="minorEastAsia" w:eastAsiaTheme="minorEastAsia" w:hAnsiTheme="minorEastAsia" w:cs="宋体" w:hint="eastAsia"/>
          <w:color w:val="000000"/>
          <w:kern w:val="0"/>
          <w:sz w:val="28"/>
          <w:szCs w:val="32"/>
        </w:rPr>
        <w:t>宣判后</w:t>
      </w:r>
      <w:r w:rsidR="00451AF7" w:rsidRPr="00B12B04">
        <w:rPr>
          <w:rFonts w:asciiTheme="minorEastAsia" w:eastAsiaTheme="minorEastAsia" w:hAnsiTheme="minorEastAsia" w:cs="宋体" w:hint="eastAsia"/>
          <w:color w:val="000000"/>
          <w:kern w:val="0"/>
          <w:sz w:val="28"/>
          <w:szCs w:val="32"/>
        </w:rPr>
        <w:t>，</w:t>
      </w:r>
      <w:r w:rsidRPr="00B12B04">
        <w:rPr>
          <w:rFonts w:asciiTheme="minorEastAsia" w:eastAsiaTheme="minorEastAsia" w:hAnsiTheme="minorEastAsia" w:cs="宋体" w:hint="eastAsia"/>
          <w:color w:val="000000"/>
          <w:kern w:val="0"/>
          <w:sz w:val="28"/>
          <w:szCs w:val="32"/>
        </w:rPr>
        <w:t>吴某</w:t>
      </w:r>
      <w:r w:rsidR="00451AF7" w:rsidRPr="00B12B04">
        <w:rPr>
          <w:rFonts w:asciiTheme="minorEastAsia" w:eastAsiaTheme="minorEastAsia" w:hAnsiTheme="minorEastAsia" w:cs="宋体" w:hint="eastAsia"/>
          <w:color w:val="000000"/>
          <w:kern w:val="0"/>
          <w:sz w:val="28"/>
          <w:szCs w:val="32"/>
        </w:rPr>
        <w:t>与</w:t>
      </w:r>
      <w:r w:rsidR="007C0009" w:rsidRPr="00B12B04">
        <w:rPr>
          <w:rFonts w:asciiTheme="minorEastAsia" w:eastAsiaTheme="minorEastAsia" w:hAnsiTheme="minorEastAsia" w:cs="宋体" w:hint="eastAsia"/>
          <w:color w:val="000000"/>
          <w:kern w:val="0"/>
          <w:sz w:val="28"/>
          <w:szCs w:val="32"/>
        </w:rPr>
        <w:t>华澳信托</w:t>
      </w:r>
      <w:r w:rsidR="00451AF7" w:rsidRPr="00B12B04">
        <w:rPr>
          <w:rFonts w:asciiTheme="minorEastAsia" w:eastAsiaTheme="minorEastAsia" w:hAnsiTheme="minorEastAsia" w:cs="宋体" w:hint="eastAsia"/>
          <w:color w:val="000000"/>
          <w:kern w:val="0"/>
          <w:sz w:val="28"/>
          <w:szCs w:val="32"/>
        </w:rPr>
        <w:t>均</w:t>
      </w:r>
      <w:r w:rsidRPr="00B12B04">
        <w:rPr>
          <w:rFonts w:asciiTheme="minorEastAsia" w:eastAsiaTheme="minorEastAsia" w:hAnsiTheme="minorEastAsia" w:cs="宋体" w:hint="eastAsia"/>
          <w:color w:val="000000"/>
          <w:kern w:val="0"/>
          <w:sz w:val="28"/>
          <w:szCs w:val="32"/>
        </w:rPr>
        <w:t>提出</w:t>
      </w:r>
      <w:r w:rsidR="00451AF7" w:rsidRPr="00B12B04">
        <w:rPr>
          <w:rFonts w:asciiTheme="minorEastAsia" w:eastAsiaTheme="minorEastAsia" w:hAnsiTheme="minorEastAsia" w:cs="宋体" w:hint="eastAsia"/>
          <w:color w:val="000000"/>
          <w:kern w:val="0"/>
          <w:sz w:val="28"/>
          <w:szCs w:val="32"/>
        </w:rPr>
        <w:t>上诉。上海金融法院判决驳回上诉，维持原判。</w:t>
      </w:r>
    </w:p>
    <w:p w:rsidR="00490E82" w:rsidRPr="00B12B04" w:rsidRDefault="00490E82" w:rsidP="00B12B04">
      <w:pPr>
        <w:widowControl/>
        <w:snapToGrid w:val="0"/>
        <w:spacing w:line="560" w:lineRule="exact"/>
        <w:ind w:firstLineChars="200" w:firstLine="560"/>
        <w:rPr>
          <w:rFonts w:asciiTheme="minorEastAsia" w:eastAsiaTheme="minorEastAsia" w:hAnsiTheme="minorEastAsia" w:cs="宋体"/>
          <w:color w:val="000000"/>
          <w:kern w:val="0"/>
          <w:sz w:val="28"/>
          <w:szCs w:val="32"/>
        </w:rPr>
      </w:pPr>
    </w:p>
    <w:p w:rsidR="00076C39" w:rsidRPr="00D631D3" w:rsidRDefault="00076C39" w:rsidP="00076C39">
      <w:pPr>
        <w:widowControl/>
        <w:snapToGrid w:val="0"/>
        <w:spacing w:line="56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【专家点评】</w:t>
      </w:r>
    </w:p>
    <w:p w:rsidR="00076C39" w:rsidRPr="00B12B04" w:rsidRDefault="00076C39" w:rsidP="00B12B04">
      <w:pPr>
        <w:widowControl/>
        <w:spacing w:line="560" w:lineRule="exact"/>
        <w:ind w:firstLineChars="200" w:firstLine="560"/>
        <w:rPr>
          <w:rFonts w:ascii="黑体" w:eastAsia="黑体" w:hAnsi="黑体"/>
          <w:color w:val="000000"/>
          <w:kern w:val="0"/>
          <w:sz w:val="28"/>
          <w:szCs w:val="32"/>
        </w:rPr>
      </w:pPr>
      <w:r w:rsidRPr="00B12B04">
        <w:rPr>
          <w:rFonts w:ascii="黑体" w:eastAsia="黑体" w:hAnsi="黑体" w:hint="eastAsia"/>
          <w:color w:val="000000"/>
          <w:kern w:val="0"/>
          <w:sz w:val="28"/>
          <w:szCs w:val="32"/>
        </w:rPr>
        <w:t>点评人：黄辉，香港中文大学法学院教授</w:t>
      </w:r>
    </w:p>
    <w:p w:rsidR="00076C39" w:rsidRPr="00B12B04" w:rsidRDefault="00076C39" w:rsidP="00B12B04">
      <w:pPr>
        <w:widowControl/>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通道类信托业务是我国影子银行的一种形式，非常具有中国特色，在我国目前的金融发展阶段下有效补足了一定的融资需求缺口，但同时也带来了投资者保护和系统性金融风险等问题，因此，对其应当采取什么样的法律和监管立场，各方一直存在争议，包括该类业务是否应当允许，在多大范围内允许，当事人的权利义务如何界定等。</w:t>
      </w:r>
    </w:p>
    <w:p w:rsidR="00076C39" w:rsidRPr="00B12B04" w:rsidRDefault="00076C39" w:rsidP="00B12B04">
      <w:pPr>
        <w:widowControl/>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该案是全国首例在通道类业务中判决信托公司承担相应赔偿责任的案件，对于上述问题进行了直接回应，对于未来同类案件的处理提供了范例。该案将通道类业务归入事务管理类信托的类型，认定了其合法性，并指出当事人之间的权利义务关系应当根据信托文件进行确认。现实中该类业务的信托文件通常约定，委托人自行承担信托资产的风险管理责任和相应风险损失，受托人仅提供必要的事务协助或者服务，不承担主动管理职责。该案对于这种约定的司法承认充分体现了尊重当事人合意和市场自治的裁判理念。另一方面，鉴于通道类信托业务的金融属性和公共特征，在信托文件之外，法院还充分考虑了金融监管的内在原则，认定虽然没有明确的条文规定，但信托公司负有从审慎管理的角度出发审查信托资金来源的义务，更不能因为没有主动调查义务就可以根据客户要求随意出具虚假的证明文件。</w:t>
      </w:r>
    </w:p>
    <w:p w:rsidR="00076C39" w:rsidRPr="00B12B04" w:rsidRDefault="00076C39" w:rsidP="00B12B04">
      <w:pPr>
        <w:widowControl/>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上海金融法院在本案中充分发挥了其专业性优势，全面考虑了私法自治和公共监管的要求，合理界定了通道类业务的合法性和权利义务关系，在投资者保护和金融市场发展之间实现了平衡和统一，具有重要的标杆意义。</w:t>
      </w:r>
    </w:p>
    <w:p w:rsidR="00076C39" w:rsidRPr="005B2F8A" w:rsidRDefault="00076C39" w:rsidP="000A7638">
      <w:pPr>
        <w:widowControl/>
        <w:spacing w:line="560" w:lineRule="exact"/>
        <w:jc w:val="left"/>
        <w:rPr>
          <w:rFonts w:asciiTheme="minorEastAsia" w:eastAsiaTheme="minorEastAsia" w:hAnsiTheme="minorEastAsia" w:cs="宋体"/>
          <w:color w:val="000000"/>
          <w:kern w:val="0"/>
          <w:sz w:val="32"/>
          <w:szCs w:val="32"/>
        </w:rPr>
      </w:pPr>
    </w:p>
    <w:p w:rsidR="00076C39" w:rsidRDefault="00076C39" w:rsidP="000A7638">
      <w:pPr>
        <w:widowControl/>
        <w:spacing w:line="560" w:lineRule="exact"/>
        <w:jc w:val="left"/>
        <w:rPr>
          <w:rFonts w:asciiTheme="minorEastAsia" w:eastAsiaTheme="minorEastAsia" w:hAnsiTheme="minorEastAsia" w:cs="宋体"/>
          <w:color w:val="000000"/>
          <w:kern w:val="0"/>
          <w:sz w:val="32"/>
          <w:szCs w:val="32"/>
        </w:rPr>
      </w:pPr>
    </w:p>
    <w:p w:rsidR="002C2B26" w:rsidRDefault="002C2B26" w:rsidP="000A7638">
      <w:pPr>
        <w:widowControl/>
        <w:spacing w:line="560" w:lineRule="exact"/>
        <w:jc w:val="left"/>
        <w:rPr>
          <w:rFonts w:asciiTheme="minorEastAsia" w:eastAsiaTheme="minorEastAsia" w:hAnsiTheme="minorEastAsia" w:cs="宋体"/>
          <w:color w:val="000000"/>
          <w:kern w:val="0"/>
          <w:sz w:val="32"/>
          <w:szCs w:val="32"/>
        </w:rPr>
      </w:pPr>
    </w:p>
    <w:p w:rsidR="002C2B26" w:rsidRDefault="002C2B26" w:rsidP="000A7638">
      <w:pPr>
        <w:widowControl/>
        <w:spacing w:line="560" w:lineRule="exact"/>
        <w:jc w:val="left"/>
        <w:rPr>
          <w:rFonts w:asciiTheme="minorEastAsia" w:eastAsiaTheme="minorEastAsia" w:hAnsiTheme="minorEastAsia" w:cs="宋体"/>
          <w:color w:val="000000"/>
          <w:kern w:val="0"/>
          <w:sz w:val="32"/>
          <w:szCs w:val="32"/>
        </w:rPr>
      </w:pPr>
    </w:p>
    <w:p w:rsidR="002C2B26" w:rsidRDefault="002C2B26" w:rsidP="000A7638">
      <w:pPr>
        <w:widowControl/>
        <w:spacing w:line="560" w:lineRule="exact"/>
        <w:jc w:val="left"/>
        <w:rPr>
          <w:rFonts w:asciiTheme="minorEastAsia" w:eastAsiaTheme="minorEastAsia" w:hAnsiTheme="minorEastAsia" w:cs="宋体"/>
          <w:color w:val="000000"/>
          <w:kern w:val="0"/>
          <w:sz w:val="32"/>
          <w:szCs w:val="32"/>
        </w:rPr>
      </w:pPr>
    </w:p>
    <w:p w:rsidR="002C2B26" w:rsidRDefault="002C2B26" w:rsidP="000A7638">
      <w:pPr>
        <w:widowControl/>
        <w:spacing w:line="560" w:lineRule="exact"/>
        <w:jc w:val="left"/>
        <w:rPr>
          <w:rFonts w:asciiTheme="minorEastAsia" w:eastAsiaTheme="minorEastAsia" w:hAnsiTheme="minorEastAsia" w:cs="宋体"/>
          <w:color w:val="000000"/>
          <w:kern w:val="0"/>
          <w:sz w:val="32"/>
          <w:szCs w:val="32"/>
        </w:rPr>
      </w:pPr>
    </w:p>
    <w:p w:rsidR="002C2B26" w:rsidRDefault="002C2B26" w:rsidP="000A7638">
      <w:pPr>
        <w:widowControl/>
        <w:spacing w:line="560" w:lineRule="exact"/>
        <w:jc w:val="left"/>
        <w:rPr>
          <w:rFonts w:asciiTheme="minorEastAsia" w:eastAsiaTheme="minorEastAsia" w:hAnsiTheme="minorEastAsia" w:cs="宋体"/>
          <w:color w:val="000000"/>
          <w:kern w:val="0"/>
          <w:sz w:val="32"/>
          <w:szCs w:val="32"/>
        </w:rPr>
      </w:pPr>
    </w:p>
    <w:p w:rsidR="002C2B26" w:rsidRDefault="002C2B26" w:rsidP="000A7638">
      <w:pPr>
        <w:widowControl/>
        <w:spacing w:line="560" w:lineRule="exact"/>
        <w:jc w:val="left"/>
        <w:rPr>
          <w:rFonts w:asciiTheme="minorEastAsia" w:eastAsiaTheme="minorEastAsia" w:hAnsiTheme="minorEastAsia" w:cs="宋体"/>
          <w:color w:val="000000"/>
          <w:kern w:val="0"/>
          <w:sz w:val="32"/>
          <w:szCs w:val="32"/>
        </w:rPr>
      </w:pPr>
    </w:p>
    <w:p w:rsidR="002C2B26" w:rsidRDefault="002C2B26" w:rsidP="000A7638">
      <w:pPr>
        <w:widowControl/>
        <w:spacing w:line="560" w:lineRule="exact"/>
        <w:jc w:val="left"/>
        <w:rPr>
          <w:rFonts w:asciiTheme="minorEastAsia" w:eastAsiaTheme="minorEastAsia" w:hAnsiTheme="minorEastAsia" w:cs="宋体"/>
          <w:color w:val="000000"/>
          <w:kern w:val="0"/>
          <w:sz w:val="32"/>
          <w:szCs w:val="32"/>
        </w:rPr>
      </w:pPr>
    </w:p>
    <w:p w:rsidR="002C2B26" w:rsidRDefault="002C2B26" w:rsidP="000A7638">
      <w:pPr>
        <w:widowControl/>
        <w:spacing w:line="560" w:lineRule="exact"/>
        <w:jc w:val="left"/>
        <w:rPr>
          <w:rFonts w:asciiTheme="minorEastAsia" w:eastAsiaTheme="minorEastAsia" w:hAnsiTheme="minorEastAsia" w:cs="宋体"/>
          <w:color w:val="000000"/>
          <w:kern w:val="0"/>
          <w:sz w:val="32"/>
          <w:szCs w:val="32"/>
        </w:rPr>
      </w:pPr>
    </w:p>
    <w:p w:rsidR="002C2B26" w:rsidRDefault="002C2B26" w:rsidP="000A7638">
      <w:pPr>
        <w:widowControl/>
        <w:spacing w:line="560" w:lineRule="exact"/>
        <w:jc w:val="left"/>
        <w:rPr>
          <w:rFonts w:asciiTheme="minorEastAsia" w:eastAsiaTheme="minorEastAsia" w:hAnsiTheme="minorEastAsia" w:cs="宋体"/>
          <w:color w:val="000000"/>
          <w:kern w:val="0"/>
          <w:sz w:val="32"/>
          <w:szCs w:val="32"/>
        </w:rPr>
      </w:pPr>
    </w:p>
    <w:p w:rsidR="002C2B26" w:rsidRDefault="002C2B26" w:rsidP="000A7638">
      <w:pPr>
        <w:widowControl/>
        <w:spacing w:line="560" w:lineRule="exact"/>
        <w:jc w:val="left"/>
        <w:rPr>
          <w:rFonts w:asciiTheme="minorEastAsia" w:eastAsiaTheme="minorEastAsia" w:hAnsiTheme="minorEastAsia" w:cs="宋体"/>
          <w:color w:val="000000"/>
          <w:kern w:val="0"/>
          <w:sz w:val="32"/>
          <w:szCs w:val="32"/>
        </w:rPr>
      </w:pPr>
    </w:p>
    <w:p w:rsidR="002C2B26" w:rsidRDefault="002C2B26" w:rsidP="000A7638">
      <w:pPr>
        <w:widowControl/>
        <w:spacing w:line="560" w:lineRule="exact"/>
        <w:jc w:val="left"/>
        <w:rPr>
          <w:rFonts w:asciiTheme="minorEastAsia" w:eastAsiaTheme="minorEastAsia" w:hAnsiTheme="minorEastAsia" w:cs="宋体"/>
          <w:color w:val="000000"/>
          <w:kern w:val="0"/>
          <w:sz w:val="32"/>
          <w:szCs w:val="32"/>
        </w:rPr>
      </w:pPr>
    </w:p>
    <w:p w:rsidR="002C2B26" w:rsidRDefault="002C2B26" w:rsidP="000A7638">
      <w:pPr>
        <w:widowControl/>
        <w:spacing w:line="560" w:lineRule="exact"/>
        <w:jc w:val="left"/>
        <w:rPr>
          <w:rFonts w:asciiTheme="minorEastAsia" w:eastAsiaTheme="minorEastAsia" w:hAnsiTheme="minorEastAsia" w:cs="宋体"/>
          <w:color w:val="000000"/>
          <w:kern w:val="0"/>
          <w:sz w:val="32"/>
          <w:szCs w:val="32"/>
        </w:rPr>
      </w:pPr>
    </w:p>
    <w:p w:rsidR="002C2B26" w:rsidRDefault="002C2B26" w:rsidP="000A7638">
      <w:pPr>
        <w:widowControl/>
        <w:spacing w:line="560" w:lineRule="exact"/>
        <w:jc w:val="left"/>
        <w:rPr>
          <w:rFonts w:asciiTheme="minorEastAsia" w:eastAsiaTheme="minorEastAsia" w:hAnsiTheme="minorEastAsia" w:cs="宋体"/>
          <w:color w:val="000000"/>
          <w:kern w:val="0"/>
          <w:sz w:val="32"/>
          <w:szCs w:val="32"/>
        </w:rPr>
      </w:pPr>
    </w:p>
    <w:p w:rsidR="002C2B26" w:rsidRDefault="002C2B26" w:rsidP="000A7638">
      <w:pPr>
        <w:widowControl/>
        <w:spacing w:line="560" w:lineRule="exact"/>
        <w:jc w:val="left"/>
        <w:rPr>
          <w:rFonts w:asciiTheme="minorEastAsia" w:eastAsiaTheme="minorEastAsia" w:hAnsiTheme="minorEastAsia" w:cs="宋体"/>
          <w:color w:val="000000"/>
          <w:kern w:val="0"/>
          <w:sz w:val="32"/>
          <w:szCs w:val="32"/>
        </w:rPr>
      </w:pPr>
    </w:p>
    <w:p w:rsidR="002C2B26" w:rsidRDefault="002C2B26" w:rsidP="000A7638">
      <w:pPr>
        <w:widowControl/>
        <w:spacing w:line="560" w:lineRule="exact"/>
        <w:jc w:val="left"/>
        <w:rPr>
          <w:rFonts w:asciiTheme="minorEastAsia" w:eastAsiaTheme="minorEastAsia" w:hAnsiTheme="minorEastAsia" w:cs="宋体"/>
          <w:color w:val="000000"/>
          <w:kern w:val="0"/>
          <w:sz w:val="32"/>
          <w:szCs w:val="32"/>
        </w:rPr>
      </w:pPr>
    </w:p>
    <w:p w:rsidR="002C2B26" w:rsidRDefault="002C2B26" w:rsidP="000A7638">
      <w:pPr>
        <w:widowControl/>
        <w:spacing w:line="560" w:lineRule="exact"/>
        <w:jc w:val="left"/>
        <w:rPr>
          <w:rFonts w:asciiTheme="minorEastAsia" w:eastAsiaTheme="minorEastAsia" w:hAnsiTheme="minorEastAsia" w:cs="宋体"/>
          <w:color w:val="000000"/>
          <w:kern w:val="0"/>
          <w:sz w:val="32"/>
          <w:szCs w:val="32"/>
        </w:rPr>
      </w:pPr>
    </w:p>
    <w:p w:rsidR="002D5485" w:rsidRPr="00490E82" w:rsidRDefault="0013300A" w:rsidP="00FB7648">
      <w:pPr>
        <w:widowControl/>
        <w:spacing w:line="560" w:lineRule="exact"/>
        <w:jc w:val="center"/>
        <w:rPr>
          <w:rFonts w:ascii="黑体" w:eastAsia="黑体" w:hAnsi="黑体"/>
          <w:color w:val="000000"/>
          <w:kern w:val="0"/>
          <w:sz w:val="32"/>
          <w:szCs w:val="36"/>
        </w:rPr>
      </w:pPr>
      <w:r w:rsidRPr="00490E82">
        <w:rPr>
          <w:rFonts w:ascii="黑体" w:eastAsia="黑体" w:hAnsi="黑体" w:hint="eastAsia"/>
          <w:color w:val="000000"/>
          <w:kern w:val="0"/>
          <w:sz w:val="32"/>
          <w:szCs w:val="36"/>
        </w:rPr>
        <w:t>ISDA协议中终止净额结算条款的性质认定</w:t>
      </w:r>
    </w:p>
    <w:p w:rsidR="00CE7F0B" w:rsidRPr="00490E82" w:rsidRDefault="00444072" w:rsidP="002D5485">
      <w:pPr>
        <w:widowControl/>
        <w:spacing w:line="560" w:lineRule="exact"/>
        <w:jc w:val="center"/>
        <w:rPr>
          <w:rFonts w:asciiTheme="minorEastAsia" w:eastAsiaTheme="minorEastAsia" w:hAnsiTheme="minorEastAsia" w:cs="宋体"/>
          <w:color w:val="000000"/>
          <w:kern w:val="0"/>
          <w:sz w:val="28"/>
          <w:szCs w:val="32"/>
        </w:rPr>
      </w:pPr>
      <w:r>
        <w:rPr>
          <w:rFonts w:ascii="仿宋_GB2312" w:eastAsia="仿宋_GB2312" w:hAnsi="宋体" w:hint="eastAsia"/>
          <w:color w:val="000000"/>
          <w:kern w:val="0"/>
          <w:sz w:val="32"/>
          <w:szCs w:val="32"/>
        </w:rPr>
        <w:t>——</w:t>
      </w:r>
      <w:r w:rsidR="00E008C6" w:rsidRPr="00490E82">
        <w:rPr>
          <w:rFonts w:asciiTheme="minorEastAsia" w:eastAsiaTheme="minorEastAsia" w:hAnsiTheme="minorEastAsia" w:cs="宋体" w:hint="eastAsia"/>
          <w:color w:val="000000"/>
          <w:kern w:val="0"/>
          <w:sz w:val="28"/>
          <w:szCs w:val="32"/>
        </w:rPr>
        <w:t>上诉人张家口联合石油化工有限公司与被上诉人渣打银行（中国）有限公司金融衍生品种交易纠纷案</w:t>
      </w:r>
    </w:p>
    <w:p w:rsidR="00FB7648" w:rsidRPr="00490E82" w:rsidRDefault="00FB7648" w:rsidP="002D5485">
      <w:pPr>
        <w:widowControl/>
        <w:spacing w:line="560" w:lineRule="exact"/>
        <w:jc w:val="center"/>
        <w:rPr>
          <w:rFonts w:ascii="仿宋_GB2312" w:eastAsia="仿宋_GB2312" w:hAnsi="宋体"/>
          <w:color w:val="000000"/>
          <w:kern w:val="0"/>
          <w:sz w:val="28"/>
          <w:szCs w:val="32"/>
        </w:rPr>
      </w:pPr>
    </w:p>
    <w:p w:rsidR="000B5303" w:rsidRPr="007002AD" w:rsidRDefault="00076C39" w:rsidP="000A7638">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w:t>
      </w:r>
      <w:r w:rsidR="000B5303">
        <w:rPr>
          <w:rFonts w:ascii="黑体" w:eastAsia="黑体" w:hAnsi="黑体" w:hint="eastAsia"/>
          <w:sz w:val="32"/>
          <w:szCs w:val="32"/>
        </w:rPr>
        <w:t>基本案情</w:t>
      </w:r>
      <w:r>
        <w:rPr>
          <w:rFonts w:ascii="黑体" w:eastAsia="黑体" w:hAnsi="黑体" w:hint="eastAsia"/>
          <w:sz w:val="32"/>
          <w:szCs w:val="32"/>
        </w:rPr>
        <w:t>】</w:t>
      </w:r>
    </w:p>
    <w:p w:rsidR="004478C0" w:rsidRPr="00B12B04" w:rsidRDefault="00564FA5" w:rsidP="00B12B04">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2011年9月15日，</w:t>
      </w:r>
      <w:r w:rsidR="00EC32B0" w:rsidRPr="00B12B04">
        <w:rPr>
          <w:rFonts w:asciiTheme="minorEastAsia" w:eastAsiaTheme="minorEastAsia" w:hAnsiTheme="minorEastAsia" w:cs="宋体" w:hint="eastAsia"/>
          <w:color w:val="000000"/>
          <w:kern w:val="0"/>
          <w:sz w:val="28"/>
          <w:szCs w:val="32"/>
        </w:rPr>
        <w:t>渣打银行（中国）有限公司（以下简称渣打银行）</w:t>
      </w:r>
      <w:r w:rsidRPr="00B12B04">
        <w:rPr>
          <w:rFonts w:asciiTheme="minorEastAsia" w:eastAsiaTheme="minorEastAsia" w:hAnsiTheme="minorEastAsia" w:cs="宋体" w:hint="eastAsia"/>
          <w:color w:val="000000"/>
          <w:kern w:val="0"/>
          <w:sz w:val="28"/>
          <w:szCs w:val="32"/>
        </w:rPr>
        <w:t>与</w:t>
      </w:r>
      <w:r w:rsidR="00AA63E3" w:rsidRPr="00B12B04">
        <w:rPr>
          <w:rFonts w:asciiTheme="minorEastAsia" w:eastAsiaTheme="minorEastAsia" w:hAnsiTheme="minorEastAsia" w:cs="宋体" w:hint="eastAsia"/>
          <w:color w:val="000000"/>
          <w:kern w:val="0"/>
          <w:sz w:val="28"/>
          <w:szCs w:val="32"/>
        </w:rPr>
        <w:t>张家口联合石油化工有限公司（以下简称张家口石化公司）</w:t>
      </w:r>
      <w:r w:rsidRPr="00B12B04">
        <w:rPr>
          <w:rFonts w:asciiTheme="minorEastAsia" w:eastAsiaTheme="minorEastAsia" w:hAnsiTheme="minorEastAsia" w:cs="宋体" w:hint="eastAsia"/>
          <w:color w:val="000000"/>
          <w:kern w:val="0"/>
          <w:sz w:val="28"/>
          <w:szCs w:val="32"/>
        </w:rPr>
        <w:t>签订ISDA2002主协议及其附件（以下简称主协议），约定：双方按照主协议的规定进行场外衍生品交易</w:t>
      </w:r>
      <w:r w:rsidR="00334ECF" w:rsidRPr="00B12B04">
        <w:rPr>
          <w:rFonts w:asciiTheme="minorEastAsia" w:eastAsiaTheme="minorEastAsia" w:hAnsiTheme="minorEastAsia" w:cs="宋体" w:hint="eastAsia"/>
          <w:color w:val="000000"/>
          <w:kern w:val="0"/>
          <w:sz w:val="28"/>
          <w:szCs w:val="32"/>
        </w:rPr>
        <w:t>；</w:t>
      </w:r>
      <w:r w:rsidR="00DF7AA9" w:rsidRPr="00B12B04">
        <w:rPr>
          <w:rFonts w:asciiTheme="minorEastAsia" w:eastAsiaTheme="minorEastAsia" w:hAnsiTheme="minorEastAsia" w:cs="宋体" w:hint="eastAsia"/>
          <w:color w:val="000000"/>
          <w:kern w:val="0"/>
          <w:sz w:val="28"/>
          <w:szCs w:val="32"/>
        </w:rPr>
        <w:t>如一方提前终止，构成违约事件，须向另一方支付提前终止款项，该款项是对</w:t>
      </w:r>
      <w:r w:rsidRPr="00B12B04">
        <w:rPr>
          <w:rFonts w:asciiTheme="minorEastAsia" w:eastAsiaTheme="minorEastAsia" w:hAnsiTheme="minorEastAsia" w:cs="宋体" w:hint="eastAsia"/>
          <w:color w:val="000000"/>
          <w:kern w:val="0"/>
          <w:sz w:val="28"/>
          <w:szCs w:val="32"/>
        </w:rPr>
        <w:t>亏损之合理预先估计而非违约金，支付该数额之目的系为补偿交易之未能实现及保障未来损失之风险</w:t>
      </w:r>
      <w:r w:rsidR="0076598D" w:rsidRPr="00B12B04">
        <w:rPr>
          <w:rFonts w:asciiTheme="minorEastAsia" w:eastAsiaTheme="minorEastAsia" w:hAnsiTheme="minorEastAsia" w:cs="宋体" w:hint="eastAsia"/>
          <w:color w:val="000000"/>
          <w:kern w:val="0"/>
          <w:sz w:val="28"/>
          <w:szCs w:val="32"/>
        </w:rPr>
        <w:t>。</w:t>
      </w:r>
      <w:r w:rsidR="00EC6191" w:rsidRPr="00B12B04">
        <w:rPr>
          <w:rFonts w:asciiTheme="minorEastAsia" w:eastAsiaTheme="minorEastAsia" w:hAnsiTheme="minorEastAsia" w:cs="宋体" w:hint="eastAsia"/>
          <w:color w:val="000000"/>
          <w:kern w:val="0"/>
          <w:sz w:val="28"/>
          <w:szCs w:val="32"/>
        </w:rPr>
        <w:t>2014年3月7日，双方签订《布伦特原油-买入绩效互换》及对应的《交易确认书》，约定就布伦</w:t>
      </w:r>
      <w:proofErr w:type="gramStart"/>
      <w:r w:rsidR="00EC6191" w:rsidRPr="00B12B04">
        <w:rPr>
          <w:rFonts w:asciiTheme="minorEastAsia" w:eastAsiaTheme="minorEastAsia" w:hAnsiTheme="minorEastAsia" w:cs="宋体" w:hint="eastAsia"/>
          <w:color w:val="000000"/>
          <w:kern w:val="0"/>
          <w:sz w:val="28"/>
          <w:szCs w:val="32"/>
        </w:rPr>
        <w:t>特</w:t>
      </w:r>
      <w:proofErr w:type="gramEnd"/>
      <w:r w:rsidR="00EC6191" w:rsidRPr="00B12B04">
        <w:rPr>
          <w:rFonts w:asciiTheme="minorEastAsia" w:eastAsiaTheme="minorEastAsia" w:hAnsiTheme="minorEastAsia" w:cs="宋体" w:hint="eastAsia"/>
          <w:color w:val="000000"/>
          <w:kern w:val="0"/>
          <w:sz w:val="28"/>
          <w:szCs w:val="32"/>
        </w:rPr>
        <w:t>原油开展互换交易。</w:t>
      </w:r>
      <w:r w:rsidR="00FC34EF" w:rsidRPr="00B12B04">
        <w:rPr>
          <w:rFonts w:asciiTheme="minorEastAsia" w:eastAsiaTheme="minorEastAsia" w:hAnsiTheme="minorEastAsia" w:cs="宋体" w:hint="eastAsia"/>
          <w:color w:val="000000"/>
          <w:kern w:val="0"/>
          <w:sz w:val="28"/>
          <w:szCs w:val="32"/>
        </w:rPr>
        <w:t>同日，</w:t>
      </w:r>
      <w:r w:rsidR="000C14B8" w:rsidRPr="00B12B04">
        <w:rPr>
          <w:rFonts w:asciiTheme="minorEastAsia" w:eastAsiaTheme="minorEastAsia" w:hAnsiTheme="minorEastAsia" w:cs="宋体" w:hint="eastAsia"/>
          <w:color w:val="000000"/>
          <w:kern w:val="0"/>
          <w:sz w:val="28"/>
          <w:szCs w:val="32"/>
        </w:rPr>
        <w:t>渣打银行</w:t>
      </w:r>
      <w:r w:rsidR="00FC34EF" w:rsidRPr="00B12B04">
        <w:rPr>
          <w:rFonts w:asciiTheme="minorEastAsia" w:eastAsiaTheme="minorEastAsia" w:hAnsiTheme="minorEastAsia" w:cs="宋体" w:hint="eastAsia"/>
          <w:color w:val="000000"/>
          <w:kern w:val="0"/>
          <w:sz w:val="28"/>
          <w:szCs w:val="32"/>
        </w:rPr>
        <w:t>就布伦</w:t>
      </w:r>
      <w:proofErr w:type="gramStart"/>
      <w:r w:rsidR="00FC34EF" w:rsidRPr="00B12B04">
        <w:rPr>
          <w:rFonts w:asciiTheme="minorEastAsia" w:eastAsiaTheme="minorEastAsia" w:hAnsiTheme="minorEastAsia" w:cs="宋体" w:hint="eastAsia"/>
          <w:color w:val="000000"/>
          <w:kern w:val="0"/>
          <w:sz w:val="28"/>
          <w:szCs w:val="32"/>
        </w:rPr>
        <w:t>特</w:t>
      </w:r>
      <w:proofErr w:type="gramEnd"/>
      <w:r w:rsidR="00FC34EF" w:rsidRPr="00B12B04">
        <w:rPr>
          <w:rFonts w:asciiTheme="minorEastAsia" w:eastAsiaTheme="minorEastAsia" w:hAnsiTheme="minorEastAsia" w:cs="宋体" w:hint="eastAsia"/>
          <w:color w:val="000000"/>
          <w:kern w:val="0"/>
          <w:sz w:val="28"/>
          <w:szCs w:val="32"/>
        </w:rPr>
        <w:t>原油价格跌破执行价格的亏损风险等向</w:t>
      </w:r>
      <w:r w:rsidR="008866C9" w:rsidRPr="00B12B04">
        <w:rPr>
          <w:rFonts w:asciiTheme="minorEastAsia" w:eastAsiaTheme="minorEastAsia" w:hAnsiTheme="minorEastAsia" w:cs="宋体" w:hint="eastAsia"/>
          <w:color w:val="000000"/>
          <w:kern w:val="0"/>
          <w:sz w:val="28"/>
          <w:szCs w:val="32"/>
        </w:rPr>
        <w:t>张家口石化公司</w:t>
      </w:r>
      <w:r w:rsidR="00FC34EF" w:rsidRPr="00B12B04">
        <w:rPr>
          <w:rFonts w:asciiTheme="minorEastAsia" w:eastAsiaTheme="minorEastAsia" w:hAnsiTheme="minorEastAsia" w:cs="宋体" w:hint="eastAsia"/>
          <w:color w:val="000000"/>
          <w:kern w:val="0"/>
          <w:sz w:val="28"/>
          <w:szCs w:val="32"/>
        </w:rPr>
        <w:t>进行说明，</w:t>
      </w:r>
      <w:r w:rsidR="008866C9" w:rsidRPr="00B12B04">
        <w:rPr>
          <w:rFonts w:asciiTheme="minorEastAsia" w:eastAsiaTheme="minorEastAsia" w:hAnsiTheme="minorEastAsia" w:cs="宋体" w:hint="eastAsia"/>
          <w:color w:val="000000"/>
          <w:kern w:val="0"/>
          <w:sz w:val="28"/>
          <w:szCs w:val="32"/>
        </w:rPr>
        <w:t>张家口石化公司</w:t>
      </w:r>
      <w:r w:rsidR="00FC34EF" w:rsidRPr="00B12B04">
        <w:rPr>
          <w:rFonts w:asciiTheme="minorEastAsia" w:eastAsiaTheme="minorEastAsia" w:hAnsiTheme="minorEastAsia" w:cs="宋体" w:hint="eastAsia"/>
          <w:color w:val="000000"/>
          <w:kern w:val="0"/>
          <w:sz w:val="28"/>
          <w:szCs w:val="32"/>
        </w:rPr>
        <w:t>最终确认进行系争交易。相关协议签订后，</w:t>
      </w:r>
      <w:r w:rsidR="000C14B8" w:rsidRPr="00B12B04">
        <w:rPr>
          <w:rFonts w:asciiTheme="minorEastAsia" w:eastAsiaTheme="minorEastAsia" w:hAnsiTheme="minorEastAsia" w:cs="宋体" w:hint="eastAsia"/>
          <w:color w:val="000000"/>
          <w:kern w:val="0"/>
          <w:sz w:val="28"/>
          <w:szCs w:val="32"/>
        </w:rPr>
        <w:t>渣打银行</w:t>
      </w:r>
      <w:r w:rsidR="00FC34EF" w:rsidRPr="00B12B04">
        <w:rPr>
          <w:rFonts w:asciiTheme="minorEastAsia" w:eastAsiaTheme="minorEastAsia" w:hAnsiTheme="minorEastAsia" w:cs="宋体" w:hint="eastAsia"/>
          <w:color w:val="000000"/>
          <w:kern w:val="0"/>
          <w:sz w:val="28"/>
          <w:szCs w:val="32"/>
        </w:rPr>
        <w:t>与</w:t>
      </w:r>
      <w:r w:rsidR="008866C9" w:rsidRPr="00B12B04">
        <w:rPr>
          <w:rFonts w:asciiTheme="minorEastAsia" w:eastAsiaTheme="minorEastAsia" w:hAnsiTheme="minorEastAsia" w:cs="宋体" w:hint="eastAsia"/>
          <w:color w:val="000000"/>
          <w:kern w:val="0"/>
          <w:sz w:val="28"/>
          <w:szCs w:val="32"/>
        </w:rPr>
        <w:t>张家口石化公司</w:t>
      </w:r>
      <w:r w:rsidR="00FC34EF" w:rsidRPr="00B12B04">
        <w:rPr>
          <w:rFonts w:asciiTheme="minorEastAsia" w:eastAsiaTheme="minorEastAsia" w:hAnsiTheme="minorEastAsia" w:cs="宋体" w:hint="eastAsia"/>
          <w:color w:val="000000"/>
          <w:kern w:val="0"/>
          <w:sz w:val="28"/>
          <w:szCs w:val="32"/>
        </w:rPr>
        <w:t>依约履行了4期互换交易。</w:t>
      </w:r>
    </w:p>
    <w:p w:rsidR="00B230DF" w:rsidRPr="00B12B04" w:rsidRDefault="00EC6191" w:rsidP="00B12B04">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2014年11月11日，</w:t>
      </w:r>
      <w:r w:rsidR="008866C9" w:rsidRPr="00B12B04">
        <w:rPr>
          <w:rFonts w:asciiTheme="minorEastAsia" w:eastAsiaTheme="minorEastAsia" w:hAnsiTheme="minorEastAsia" w:cs="宋体" w:hint="eastAsia"/>
          <w:color w:val="000000"/>
          <w:kern w:val="0"/>
          <w:sz w:val="28"/>
          <w:szCs w:val="32"/>
        </w:rPr>
        <w:t>张家口石化公司</w:t>
      </w:r>
      <w:r w:rsidRPr="00B12B04">
        <w:rPr>
          <w:rFonts w:asciiTheme="minorEastAsia" w:eastAsiaTheme="minorEastAsia" w:hAnsiTheme="minorEastAsia" w:cs="宋体" w:hint="eastAsia"/>
          <w:color w:val="000000"/>
          <w:kern w:val="0"/>
          <w:sz w:val="28"/>
          <w:szCs w:val="32"/>
        </w:rPr>
        <w:t>出具《关于终止布伦特原油-买入绩效互换的函》，要求提前终止并解除互换交易，否认2014年11月10日后互换交易的效力，并表示不再承担11月10日后的损失。11月27日，</w:t>
      </w:r>
      <w:r w:rsidR="000C14B8" w:rsidRPr="00B12B04">
        <w:rPr>
          <w:rFonts w:asciiTheme="minorEastAsia" w:eastAsiaTheme="minorEastAsia" w:hAnsiTheme="minorEastAsia" w:cs="宋体" w:hint="eastAsia"/>
          <w:color w:val="000000"/>
          <w:kern w:val="0"/>
          <w:sz w:val="28"/>
          <w:szCs w:val="32"/>
        </w:rPr>
        <w:t>渣打银行</w:t>
      </w:r>
      <w:r w:rsidRPr="00B12B04">
        <w:rPr>
          <w:rFonts w:asciiTheme="minorEastAsia" w:eastAsiaTheme="minorEastAsia" w:hAnsiTheme="minorEastAsia" w:cs="宋体" w:hint="eastAsia"/>
          <w:color w:val="000000"/>
          <w:kern w:val="0"/>
          <w:sz w:val="28"/>
          <w:szCs w:val="32"/>
        </w:rPr>
        <w:t>向</w:t>
      </w:r>
      <w:r w:rsidR="008866C9" w:rsidRPr="00B12B04">
        <w:rPr>
          <w:rFonts w:asciiTheme="minorEastAsia" w:eastAsiaTheme="minorEastAsia" w:hAnsiTheme="minorEastAsia" w:cs="宋体" w:hint="eastAsia"/>
          <w:color w:val="000000"/>
          <w:kern w:val="0"/>
          <w:sz w:val="28"/>
          <w:szCs w:val="32"/>
        </w:rPr>
        <w:t>张家口石化公司</w:t>
      </w:r>
      <w:r w:rsidRPr="00B12B04">
        <w:rPr>
          <w:rFonts w:asciiTheme="minorEastAsia" w:eastAsiaTheme="minorEastAsia" w:hAnsiTheme="minorEastAsia" w:cs="宋体" w:hint="eastAsia"/>
          <w:color w:val="000000"/>
          <w:kern w:val="0"/>
          <w:sz w:val="28"/>
          <w:szCs w:val="32"/>
        </w:rPr>
        <w:t>发出《提前终止确认》，指定2014年12月2日为主协议项下所有未完成交易的提前终止日</w:t>
      </w:r>
      <w:r w:rsidR="00B230DF" w:rsidRPr="00B12B04">
        <w:rPr>
          <w:rFonts w:asciiTheme="minorEastAsia" w:eastAsiaTheme="minorEastAsia" w:hAnsiTheme="minorEastAsia" w:cs="宋体" w:hint="eastAsia"/>
          <w:color w:val="000000"/>
          <w:kern w:val="0"/>
          <w:sz w:val="28"/>
          <w:szCs w:val="32"/>
        </w:rPr>
        <w:t>。</w:t>
      </w:r>
      <w:r w:rsidR="00A34D90" w:rsidRPr="00B12B04">
        <w:rPr>
          <w:rFonts w:asciiTheme="minorEastAsia" w:eastAsiaTheme="minorEastAsia" w:hAnsiTheme="minorEastAsia" w:cs="宋体" w:hint="eastAsia"/>
          <w:color w:val="000000"/>
          <w:kern w:val="0"/>
          <w:sz w:val="28"/>
          <w:szCs w:val="32"/>
        </w:rPr>
        <w:t>嗣后，</w:t>
      </w:r>
      <w:r w:rsidR="000C14B8" w:rsidRPr="00B12B04">
        <w:rPr>
          <w:rFonts w:asciiTheme="minorEastAsia" w:eastAsiaTheme="minorEastAsia" w:hAnsiTheme="minorEastAsia" w:cs="宋体" w:hint="eastAsia"/>
          <w:color w:val="000000"/>
          <w:kern w:val="0"/>
          <w:sz w:val="28"/>
          <w:szCs w:val="32"/>
        </w:rPr>
        <w:t>渣打银行</w:t>
      </w:r>
      <w:r w:rsidR="00A34D90" w:rsidRPr="00B12B04">
        <w:rPr>
          <w:rFonts w:asciiTheme="minorEastAsia" w:eastAsiaTheme="minorEastAsia" w:hAnsiTheme="minorEastAsia" w:cs="宋体" w:hint="eastAsia"/>
          <w:color w:val="000000"/>
          <w:kern w:val="0"/>
          <w:sz w:val="28"/>
          <w:szCs w:val="32"/>
        </w:rPr>
        <w:t>发函要求</w:t>
      </w:r>
      <w:r w:rsidR="008866C9" w:rsidRPr="00B12B04">
        <w:rPr>
          <w:rFonts w:asciiTheme="minorEastAsia" w:eastAsiaTheme="minorEastAsia" w:hAnsiTheme="minorEastAsia" w:cs="宋体" w:hint="eastAsia"/>
          <w:color w:val="000000"/>
          <w:kern w:val="0"/>
          <w:sz w:val="28"/>
          <w:szCs w:val="32"/>
        </w:rPr>
        <w:t>张家口石化公司</w:t>
      </w:r>
      <w:r w:rsidR="00B230DF" w:rsidRPr="00B12B04">
        <w:rPr>
          <w:rFonts w:asciiTheme="minorEastAsia" w:eastAsiaTheme="minorEastAsia" w:hAnsiTheme="minorEastAsia" w:cs="宋体" w:hint="eastAsia"/>
          <w:color w:val="000000"/>
          <w:kern w:val="0"/>
          <w:sz w:val="28"/>
          <w:szCs w:val="32"/>
        </w:rPr>
        <w:t>支付提前终止款项加上到期应付的利息。</w:t>
      </w:r>
      <w:r w:rsidR="00150A3E" w:rsidRPr="00B12B04">
        <w:rPr>
          <w:rFonts w:asciiTheme="minorEastAsia" w:eastAsiaTheme="minorEastAsia" w:hAnsiTheme="minorEastAsia" w:cs="宋体" w:hint="eastAsia"/>
          <w:color w:val="000000"/>
          <w:kern w:val="0"/>
          <w:sz w:val="28"/>
          <w:szCs w:val="32"/>
        </w:rPr>
        <w:t>因索赔未果，</w:t>
      </w:r>
      <w:r w:rsidR="000C14B8" w:rsidRPr="00B12B04">
        <w:rPr>
          <w:rFonts w:asciiTheme="minorEastAsia" w:eastAsiaTheme="minorEastAsia" w:hAnsiTheme="minorEastAsia" w:cs="宋体" w:hint="eastAsia"/>
          <w:color w:val="000000"/>
          <w:kern w:val="0"/>
          <w:sz w:val="28"/>
          <w:szCs w:val="32"/>
        </w:rPr>
        <w:t>渣打银行</w:t>
      </w:r>
      <w:r w:rsidR="00A46F1E" w:rsidRPr="00B12B04">
        <w:rPr>
          <w:rFonts w:asciiTheme="minorEastAsia" w:eastAsiaTheme="minorEastAsia" w:hAnsiTheme="minorEastAsia" w:cs="宋体" w:hint="eastAsia"/>
          <w:color w:val="000000"/>
          <w:kern w:val="0"/>
          <w:sz w:val="28"/>
          <w:szCs w:val="32"/>
        </w:rPr>
        <w:t>诉至法院，要求</w:t>
      </w:r>
      <w:r w:rsidR="008866C9" w:rsidRPr="00B12B04">
        <w:rPr>
          <w:rFonts w:asciiTheme="minorEastAsia" w:eastAsiaTheme="minorEastAsia" w:hAnsiTheme="minorEastAsia" w:cs="宋体" w:hint="eastAsia"/>
          <w:color w:val="000000"/>
          <w:kern w:val="0"/>
          <w:sz w:val="28"/>
          <w:szCs w:val="32"/>
        </w:rPr>
        <w:t>张家口石化公司</w:t>
      </w:r>
      <w:r w:rsidR="00A46F1E" w:rsidRPr="00B12B04">
        <w:rPr>
          <w:rFonts w:asciiTheme="minorEastAsia" w:eastAsiaTheme="minorEastAsia" w:hAnsiTheme="minorEastAsia" w:cs="宋体" w:hint="eastAsia"/>
          <w:color w:val="000000"/>
          <w:kern w:val="0"/>
          <w:sz w:val="28"/>
          <w:szCs w:val="32"/>
        </w:rPr>
        <w:t>支付互换交易项下欠付的提前终止款项1,328,560.97美元</w:t>
      </w:r>
      <w:r w:rsidR="00B962CB" w:rsidRPr="00B12B04">
        <w:rPr>
          <w:rFonts w:asciiTheme="minorEastAsia" w:eastAsiaTheme="minorEastAsia" w:hAnsiTheme="minorEastAsia" w:cs="宋体" w:hint="eastAsia"/>
          <w:color w:val="000000"/>
          <w:kern w:val="0"/>
          <w:sz w:val="28"/>
          <w:szCs w:val="32"/>
        </w:rPr>
        <w:t>及利息</w:t>
      </w:r>
      <w:r w:rsidR="00A46F1E" w:rsidRPr="00B12B04">
        <w:rPr>
          <w:rFonts w:asciiTheme="minorEastAsia" w:eastAsiaTheme="minorEastAsia" w:hAnsiTheme="minorEastAsia" w:cs="宋体" w:hint="eastAsia"/>
          <w:color w:val="000000"/>
          <w:kern w:val="0"/>
          <w:sz w:val="28"/>
          <w:szCs w:val="32"/>
        </w:rPr>
        <w:t>。</w:t>
      </w:r>
    </w:p>
    <w:p w:rsidR="004E5F6D" w:rsidRDefault="00A7209D" w:rsidP="00B12B04">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上海市浦东新区人民法院</w:t>
      </w:r>
      <w:r w:rsidR="00680327" w:rsidRPr="00B12B04">
        <w:rPr>
          <w:rFonts w:asciiTheme="minorEastAsia" w:eastAsiaTheme="minorEastAsia" w:hAnsiTheme="minorEastAsia" w:cs="宋体" w:hint="eastAsia"/>
          <w:color w:val="000000"/>
          <w:kern w:val="0"/>
          <w:sz w:val="28"/>
          <w:szCs w:val="32"/>
        </w:rPr>
        <w:t>一审</w:t>
      </w:r>
      <w:r w:rsidR="00C73691" w:rsidRPr="00B12B04">
        <w:rPr>
          <w:rFonts w:asciiTheme="minorEastAsia" w:eastAsiaTheme="minorEastAsia" w:hAnsiTheme="minorEastAsia" w:cs="宋体" w:hint="eastAsia"/>
          <w:color w:val="000000"/>
          <w:kern w:val="0"/>
          <w:sz w:val="28"/>
          <w:szCs w:val="32"/>
        </w:rPr>
        <w:t>判决</w:t>
      </w:r>
      <w:r w:rsidR="008866C9" w:rsidRPr="00B12B04">
        <w:rPr>
          <w:rFonts w:asciiTheme="minorEastAsia" w:eastAsiaTheme="minorEastAsia" w:hAnsiTheme="minorEastAsia" w:cs="宋体" w:hint="eastAsia"/>
          <w:color w:val="000000"/>
          <w:kern w:val="0"/>
          <w:sz w:val="28"/>
          <w:szCs w:val="32"/>
        </w:rPr>
        <w:t>张家口石化公司</w:t>
      </w:r>
      <w:r w:rsidR="007967B6" w:rsidRPr="00B12B04">
        <w:rPr>
          <w:rFonts w:asciiTheme="minorEastAsia" w:eastAsiaTheme="minorEastAsia" w:hAnsiTheme="minorEastAsia" w:cs="宋体" w:hint="eastAsia"/>
          <w:color w:val="000000"/>
          <w:kern w:val="0"/>
          <w:sz w:val="28"/>
          <w:szCs w:val="32"/>
        </w:rPr>
        <w:t>支付</w:t>
      </w:r>
      <w:r w:rsidR="000C14B8" w:rsidRPr="00B12B04">
        <w:rPr>
          <w:rFonts w:asciiTheme="minorEastAsia" w:eastAsiaTheme="minorEastAsia" w:hAnsiTheme="minorEastAsia" w:cs="宋体" w:hint="eastAsia"/>
          <w:color w:val="000000"/>
          <w:kern w:val="0"/>
          <w:sz w:val="28"/>
          <w:szCs w:val="32"/>
        </w:rPr>
        <w:t>渣打银行</w:t>
      </w:r>
      <w:r w:rsidR="00373874" w:rsidRPr="00B12B04">
        <w:rPr>
          <w:rFonts w:asciiTheme="minorEastAsia" w:eastAsiaTheme="minorEastAsia" w:hAnsiTheme="minorEastAsia" w:cs="宋体" w:hint="eastAsia"/>
          <w:color w:val="000000"/>
          <w:kern w:val="0"/>
          <w:sz w:val="28"/>
          <w:szCs w:val="32"/>
        </w:rPr>
        <w:t>互换交易项下欠付的提前终止款项1,305,777.97美元</w:t>
      </w:r>
      <w:r w:rsidR="003C5EBC" w:rsidRPr="00B12B04">
        <w:rPr>
          <w:rFonts w:asciiTheme="minorEastAsia" w:eastAsiaTheme="minorEastAsia" w:hAnsiTheme="minorEastAsia" w:cs="宋体" w:hint="eastAsia"/>
          <w:color w:val="000000"/>
          <w:kern w:val="0"/>
          <w:sz w:val="28"/>
          <w:szCs w:val="32"/>
        </w:rPr>
        <w:t>及利息</w:t>
      </w:r>
      <w:r w:rsidR="007967B6" w:rsidRPr="00B12B04">
        <w:rPr>
          <w:rFonts w:asciiTheme="minorEastAsia" w:eastAsiaTheme="minorEastAsia" w:hAnsiTheme="minorEastAsia" w:cs="宋体" w:hint="eastAsia"/>
          <w:color w:val="000000"/>
          <w:kern w:val="0"/>
          <w:sz w:val="28"/>
          <w:szCs w:val="32"/>
        </w:rPr>
        <w:t>；驳回</w:t>
      </w:r>
      <w:r w:rsidR="000C14B8" w:rsidRPr="00B12B04">
        <w:rPr>
          <w:rFonts w:asciiTheme="minorEastAsia" w:eastAsiaTheme="minorEastAsia" w:hAnsiTheme="minorEastAsia" w:cs="宋体" w:hint="eastAsia"/>
          <w:color w:val="000000"/>
          <w:kern w:val="0"/>
          <w:sz w:val="28"/>
          <w:szCs w:val="32"/>
        </w:rPr>
        <w:t>渣打银行</w:t>
      </w:r>
      <w:r w:rsidR="00373874" w:rsidRPr="00B12B04">
        <w:rPr>
          <w:rFonts w:asciiTheme="minorEastAsia" w:eastAsiaTheme="minorEastAsia" w:hAnsiTheme="minorEastAsia" w:cs="宋体" w:hint="eastAsia"/>
          <w:color w:val="000000"/>
          <w:kern w:val="0"/>
          <w:sz w:val="28"/>
          <w:szCs w:val="32"/>
        </w:rPr>
        <w:t>其他诉讼请求。</w:t>
      </w:r>
      <w:r w:rsidR="00C73691" w:rsidRPr="00B12B04">
        <w:rPr>
          <w:rFonts w:asciiTheme="minorEastAsia" w:eastAsiaTheme="minorEastAsia" w:hAnsiTheme="minorEastAsia" w:cs="宋体" w:hint="eastAsia"/>
          <w:color w:val="000000"/>
          <w:kern w:val="0"/>
          <w:sz w:val="28"/>
          <w:szCs w:val="32"/>
        </w:rPr>
        <w:t>宣判后，</w:t>
      </w:r>
      <w:r w:rsidR="008866C9" w:rsidRPr="00B12B04">
        <w:rPr>
          <w:rFonts w:asciiTheme="minorEastAsia" w:eastAsiaTheme="minorEastAsia" w:hAnsiTheme="minorEastAsia" w:cs="宋体" w:hint="eastAsia"/>
          <w:color w:val="000000"/>
          <w:kern w:val="0"/>
          <w:sz w:val="28"/>
          <w:szCs w:val="32"/>
        </w:rPr>
        <w:t>张家口石化公司</w:t>
      </w:r>
      <w:r w:rsidR="00C73691" w:rsidRPr="00B12B04">
        <w:rPr>
          <w:rFonts w:asciiTheme="minorEastAsia" w:eastAsiaTheme="minorEastAsia" w:hAnsiTheme="minorEastAsia" w:cs="宋体" w:hint="eastAsia"/>
          <w:color w:val="000000"/>
          <w:kern w:val="0"/>
          <w:sz w:val="28"/>
          <w:szCs w:val="32"/>
        </w:rPr>
        <w:t>提出上诉。</w:t>
      </w:r>
      <w:r w:rsidR="00680327" w:rsidRPr="00B12B04">
        <w:rPr>
          <w:rFonts w:asciiTheme="minorEastAsia" w:eastAsiaTheme="minorEastAsia" w:hAnsiTheme="minorEastAsia" w:cs="宋体" w:hint="eastAsia"/>
          <w:color w:val="000000"/>
          <w:kern w:val="0"/>
          <w:sz w:val="28"/>
          <w:szCs w:val="32"/>
        </w:rPr>
        <w:t>二审审理中，渣打银行自愿放弃关于利息的诉讼请求。</w:t>
      </w:r>
      <w:r w:rsidR="00C73691" w:rsidRPr="00B12B04">
        <w:rPr>
          <w:rFonts w:asciiTheme="minorEastAsia" w:eastAsiaTheme="minorEastAsia" w:hAnsiTheme="minorEastAsia" w:cs="宋体" w:hint="eastAsia"/>
          <w:color w:val="000000"/>
          <w:kern w:val="0"/>
          <w:sz w:val="28"/>
          <w:szCs w:val="32"/>
        </w:rPr>
        <w:t>上海金融法院</w:t>
      </w:r>
      <w:r w:rsidR="00680327" w:rsidRPr="00B12B04">
        <w:rPr>
          <w:rFonts w:asciiTheme="minorEastAsia" w:eastAsiaTheme="minorEastAsia" w:hAnsiTheme="minorEastAsia" w:cs="宋体" w:hint="eastAsia"/>
          <w:color w:val="000000"/>
          <w:kern w:val="0"/>
          <w:sz w:val="28"/>
          <w:szCs w:val="32"/>
        </w:rPr>
        <w:t>二审</w:t>
      </w:r>
      <w:r w:rsidR="00C73691" w:rsidRPr="00B12B04">
        <w:rPr>
          <w:rFonts w:asciiTheme="minorEastAsia" w:eastAsiaTheme="minorEastAsia" w:hAnsiTheme="minorEastAsia" w:cs="宋体" w:hint="eastAsia"/>
          <w:color w:val="000000"/>
          <w:kern w:val="0"/>
          <w:sz w:val="28"/>
          <w:szCs w:val="32"/>
        </w:rPr>
        <w:t>判决</w:t>
      </w:r>
      <w:r w:rsidR="008866C9" w:rsidRPr="00B12B04">
        <w:rPr>
          <w:rFonts w:asciiTheme="minorEastAsia" w:eastAsiaTheme="minorEastAsia" w:hAnsiTheme="minorEastAsia" w:cs="宋体" w:hint="eastAsia"/>
          <w:color w:val="000000"/>
          <w:kern w:val="0"/>
          <w:sz w:val="28"/>
          <w:szCs w:val="32"/>
        </w:rPr>
        <w:t>张家口石化公司</w:t>
      </w:r>
      <w:r w:rsidR="007967B6" w:rsidRPr="00B12B04">
        <w:rPr>
          <w:rFonts w:asciiTheme="minorEastAsia" w:eastAsiaTheme="minorEastAsia" w:hAnsiTheme="minorEastAsia" w:cs="宋体" w:hint="eastAsia"/>
          <w:color w:val="000000"/>
          <w:kern w:val="0"/>
          <w:sz w:val="28"/>
          <w:szCs w:val="32"/>
        </w:rPr>
        <w:t>支付</w:t>
      </w:r>
      <w:r w:rsidR="000C14B8" w:rsidRPr="00B12B04">
        <w:rPr>
          <w:rFonts w:asciiTheme="minorEastAsia" w:eastAsiaTheme="minorEastAsia" w:hAnsiTheme="minorEastAsia" w:cs="宋体" w:hint="eastAsia"/>
          <w:color w:val="000000"/>
          <w:kern w:val="0"/>
          <w:sz w:val="28"/>
          <w:szCs w:val="32"/>
        </w:rPr>
        <w:t>渣打银行</w:t>
      </w:r>
      <w:r w:rsidR="00AB4E3A" w:rsidRPr="00B12B04">
        <w:rPr>
          <w:rFonts w:asciiTheme="minorEastAsia" w:eastAsiaTheme="minorEastAsia" w:hAnsiTheme="minorEastAsia" w:cs="宋体" w:hint="eastAsia"/>
          <w:color w:val="000000"/>
          <w:kern w:val="0"/>
          <w:sz w:val="28"/>
          <w:szCs w:val="32"/>
        </w:rPr>
        <w:t>互换交易项下欠付的提前终止款项1,305,777.97美元；</w:t>
      </w:r>
      <w:r w:rsidR="007967B6" w:rsidRPr="00B12B04">
        <w:rPr>
          <w:rFonts w:asciiTheme="minorEastAsia" w:eastAsiaTheme="minorEastAsia" w:hAnsiTheme="minorEastAsia" w:cs="宋体" w:hint="eastAsia"/>
          <w:color w:val="000000"/>
          <w:kern w:val="0"/>
          <w:sz w:val="28"/>
          <w:szCs w:val="32"/>
        </w:rPr>
        <w:t>驳回</w:t>
      </w:r>
      <w:r w:rsidR="000C14B8" w:rsidRPr="00B12B04">
        <w:rPr>
          <w:rFonts w:asciiTheme="minorEastAsia" w:eastAsiaTheme="minorEastAsia" w:hAnsiTheme="minorEastAsia" w:cs="宋体" w:hint="eastAsia"/>
          <w:color w:val="000000"/>
          <w:kern w:val="0"/>
          <w:sz w:val="28"/>
          <w:szCs w:val="32"/>
        </w:rPr>
        <w:t>渣打银行</w:t>
      </w:r>
      <w:r w:rsidR="00AB4E3A" w:rsidRPr="00B12B04">
        <w:rPr>
          <w:rFonts w:asciiTheme="minorEastAsia" w:eastAsiaTheme="minorEastAsia" w:hAnsiTheme="minorEastAsia" w:cs="宋体" w:hint="eastAsia"/>
          <w:color w:val="000000"/>
          <w:kern w:val="0"/>
          <w:sz w:val="28"/>
          <w:szCs w:val="32"/>
        </w:rPr>
        <w:t>其他诉讼请求。</w:t>
      </w:r>
    </w:p>
    <w:p w:rsidR="005E1925" w:rsidRPr="00B12B04" w:rsidRDefault="005E1925" w:rsidP="00B12B04">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9C0D9C" w:rsidRDefault="00076C39" w:rsidP="00490E82">
      <w:pPr>
        <w:widowControl/>
        <w:spacing w:line="56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【专家点评】</w:t>
      </w:r>
    </w:p>
    <w:p w:rsidR="00076C39" w:rsidRPr="00B12B04" w:rsidRDefault="00076C39" w:rsidP="002C2B26">
      <w:pPr>
        <w:widowControl/>
        <w:spacing w:line="540" w:lineRule="exact"/>
        <w:ind w:firstLineChars="200" w:firstLine="560"/>
        <w:rPr>
          <w:rFonts w:ascii="黑体" w:eastAsia="黑体" w:hAnsi="黑体"/>
          <w:color w:val="000000"/>
          <w:kern w:val="0"/>
          <w:sz w:val="28"/>
          <w:szCs w:val="32"/>
        </w:rPr>
      </w:pPr>
      <w:r w:rsidRPr="00B12B04">
        <w:rPr>
          <w:rFonts w:ascii="黑体" w:eastAsia="黑体" w:hAnsi="黑体" w:hint="eastAsia"/>
          <w:color w:val="000000"/>
          <w:kern w:val="0"/>
          <w:sz w:val="28"/>
          <w:szCs w:val="32"/>
        </w:rPr>
        <w:t>点评人：陆文山，上海期货交易所党组副书记、监事长</w:t>
      </w:r>
    </w:p>
    <w:p w:rsidR="00076C39" w:rsidRPr="00B12B04" w:rsidRDefault="00076C39" w:rsidP="002C2B26">
      <w:pPr>
        <w:adjustRightInd w:val="0"/>
        <w:snapToGrid w:val="0"/>
        <w:spacing w:line="540" w:lineRule="exact"/>
        <w:ind w:firstLineChars="200" w:firstLine="560"/>
        <w:rPr>
          <w:rFonts w:asciiTheme="minorEastAsia" w:eastAsiaTheme="minorEastAsia" w:hAnsiTheme="minorEastAsia" w:cs="宋体"/>
          <w:color w:val="000000"/>
          <w:kern w:val="0"/>
          <w:sz w:val="28"/>
          <w:szCs w:val="32"/>
        </w:rPr>
      </w:pPr>
      <w:r w:rsidRPr="00B12B04">
        <w:rPr>
          <w:rFonts w:asciiTheme="minorEastAsia" w:eastAsiaTheme="minorEastAsia" w:hAnsiTheme="minorEastAsia" w:cs="宋体" w:hint="eastAsia"/>
          <w:color w:val="000000"/>
          <w:kern w:val="0"/>
          <w:sz w:val="28"/>
          <w:szCs w:val="32"/>
        </w:rPr>
        <w:t>终止净额结算机制是金融衍生品合约的基础条款，对于保障场外交易合约得以顺利集中清算具有重要作用。就金融衍生产品交易而言，终止净额结算具有三方面重要作用：防控交易对手风险、显著降低金融市场系统性风险以及提高资金利用效率。尽管终止净额结算机制在我国市场上早有实践，但由于相关法律并未对该机制做出明确规定，其规则条款的效力一直是市场最为关切的法律问题之一。通过该案例，法院充分遵循金融衍生品交易的自身特性和国际惯例，认为若交易协议中实际采用了</w:t>
      </w:r>
      <w:r w:rsidRPr="00B12B04">
        <w:rPr>
          <w:rFonts w:asciiTheme="minorEastAsia" w:eastAsiaTheme="minorEastAsia" w:hAnsiTheme="minorEastAsia" w:cs="宋体"/>
          <w:color w:val="000000"/>
          <w:kern w:val="0"/>
          <w:sz w:val="28"/>
          <w:szCs w:val="32"/>
        </w:rPr>
        <w:t>ISDA主协议的相关规定，则应当认为交易各参与方对协议中所列违约责任的承担具有</w:t>
      </w:r>
      <w:r w:rsidRPr="00B12B04">
        <w:rPr>
          <w:rFonts w:asciiTheme="minorEastAsia" w:eastAsiaTheme="minorEastAsia" w:hAnsiTheme="minorEastAsia" w:cs="宋体" w:hint="eastAsia"/>
          <w:color w:val="000000"/>
          <w:kern w:val="0"/>
          <w:sz w:val="28"/>
          <w:szCs w:val="32"/>
        </w:rPr>
        <w:t>一定的预期，可以依据终止净额结算条款计算违约损失。此案例明确了</w:t>
      </w:r>
      <w:proofErr w:type="gramStart"/>
      <w:r w:rsidRPr="00B12B04">
        <w:rPr>
          <w:rFonts w:asciiTheme="minorEastAsia" w:eastAsiaTheme="minorEastAsia" w:hAnsiTheme="minorEastAsia" w:cs="宋体" w:hint="eastAsia"/>
          <w:color w:val="000000"/>
          <w:kern w:val="0"/>
          <w:sz w:val="28"/>
          <w:szCs w:val="32"/>
        </w:rPr>
        <w:t>司法对</w:t>
      </w:r>
      <w:proofErr w:type="gramEnd"/>
      <w:r w:rsidRPr="00B12B04">
        <w:rPr>
          <w:rFonts w:asciiTheme="minorEastAsia" w:eastAsiaTheme="minorEastAsia" w:hAnsiTheme="minorEastAsia" w:cs="宋体" w:hint="eastAsia"/>
          <w:color w:val="000000"/>
          <w:kern w:val="0"/>
          <w:sz w:val="28"/>
          <w:szCs w:val="32"/>
        </w:rPr>
        <w:t>提前终止净额计算条款的性质和效力的确认。上述裁判标准，不仅对同类案件的审理具有较大的参考价值，为在法律层面明确金融衍生品终止净额结算制度的有效性和</w:t>
      </w:r>
      <w:proofErr w:type="gramStart"/>
      <w:r w:rsidRPr="00B12B04">
        <w:rPr>
          <w:rFonts w:asciiTheme="minorEastAsia" w:eastAsiaTheme="minorEastAsia" w:hAnsiTheme="minorEastAsia" w:cs="宋体" w:hint="eastAsia"/>
          <w:color w:val="000000"/>
          <w:kern w:val="0"/>
          <w:sz w:val="28"/>
          <w:szCs w:val="32"/>
        </w:rPr>
        <w:t>可</w:t>
      </w:r>
      <w:proofErr w:type="gramEnd"/>
      <w:r w:rsidRPr="00B12B04">
        <w:rPr>
          <w:rFonts w:asciiTheme="minorEastAsia" w:eastAsiaTheme="minorEastAsia" w:hAnsiTheme="minorEastAsia" w:cs="宋体" w:hint="eastAsia"/>
          <w:color w:val="000000"/>
          <w:kern w:val="0"/>
          <w:sz w:val="28"/>
          <w:szCs w:val="32"/>
        </w:rPr>
        <w:t>执行性提供了有益参考，也为上海国际金融中心建设进一步市场化、国际化、尊重国际最佳实践经验和市场基本制度，促进我国金融衍生品市场的创新发展，进而稳定预期，提升软实力，提供了司法营商环境优化的案例。</w:t>
      </w:r>
    </w:p>
    <w:p w:rsidR="00556E0D" w:rsidRPr="005E1925" w:rsidRDefault="00937A80" w:rsidP="00937A80">
      <w:pPr>
        <w:widowControl/>
        <w:spacing w:line="560" w:lineRule="exact"/>
        <w:jc w:val="center"/>
        <w:rPr>
          <w:rFonts w:ascii="黑体" w:eastAsia="黑体" w:hAnsi="黑体"/>
          <w:color w:val="000000"/>
          <w:kern w:val="0"/>
          <w:sz w:val="32"/>
          <w:szCs w:val="36"/>
        </w:rPr>
      </w:pPr>
      <w:r w:rsidRPr="005E1925">
        <w:rPr>
          <w:rFonts w:ascii="黑体" w:eastAsia="黑体" w:hAnsi="黑体" w:hint="eastAsia"/>
          <w:color w:val="000000"/>
          <w:kern w:val="0"/>
          <w:sz w:val="32"/>
          <w:szCs w:val="36"/>
        </w:rPr>
        <w:t>私募基金有限合伙企业之有限合伙人对赌效力的认定原则</w:t>
      </w:r>
    </w:p>
    <w:p w:rsidR="00CE7F0B" w:rsidRPr="005B2F8A" w:rsidRDefault="00556E0D" w:rsidP="00937A80">
      <w:pPr>
        <w:widowControl/>
        <w:spacing w:line="560" w:lineRule="exact"/>
        <w:jc w:val="center"/>
        <w:rPr>
          <w:rFonts w:asciiTheme="minorEastAsia" w:eastAsiaTheme="minorEastAsia" w:hAnsiTheme="minorEastAsia" w:cs="宋体"/>
          <w:color w:val="000000"/>
          <w:kern w:val="0"/>
          <w:sz w:val="32"/>
          <w:szCs w:val="32"/>
        </w:rPr>
      </w:pPr>
      <w:r>
        <w:rPr>
          <w:rFonts w:ascii="仿宋_GB2312" w:eastAsia="仿宋_GB2312" w:hAnsi="宋体" w:hint="eastAsia"/>
          <w:color w:val="000000"/>
          <w:kern w:val="0"/>
          <w:sz w:val="32"/>
          <w:szCs w:val="32"/>
        </w:rPr>
        <w:t>——</w:t>
      </w:r>
      <w:r w:rsidR="003A1FA6" w:rsidRPr="005E1925">
        <w:rPr>
          <w:rFonts w:asciiTheme="minorEastAsia" w:eastAsiaTheme="minorEastAsia" w:hAnsiTheme="minorEastAsia" w:cs="宋体" w:hint="eastAsia"/>
          <w:color w:val="000000"/>
          <w:kern w:val="0"/>
          <w:sz w:val="28"/>
          <w:szCs w:val="32"/>
        </w:rPr>
        <w:t>长安财富资产管理有限公司诉长城影视文化企业集团有限公司、赵某勇、陈某美其他合同纠纷案</w:t>
      </w:r>
    </w:p>
    <w:p w:rsidR="00937A80" w:rsidRDefault="00937A80" w:rsidP="00937A80">
      <w:pPr>
        <w:widowControl/>
        <w:spacing w:line="560" w:lineRule="exact"/>
        <w:jc w:val="center"/>
        <w:rPr>
          <w:rFonts w:ascii="仿宋_GB2312" w:eastAsia="仿宋_GB2312" w:hAnsi="宋体"/>
          <w:color w:val="000000"/>
          <w:kern w:val="0"/>
          <w:sz w:val="32"/>
          <w:szCs w:val="32"/>
        </w:rPr>
      </w:pPr>
    </w:p>
    <w:p w:rsidR="000B5303" w:rsidRPr="007002AD" w:rsidRDefault="00076C39" w:rsidP="000A7638">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w:t>
      </w:r>
      <w:r w:rsidR="000B5303">
        <w:rPr>
          <w:rFonts w:ascii="黑体" w:eastAsia="黑体" w:hAnsi="黑体" w:hint="eastAsia"/>
          <w:sz w:val="32"/>
          <w:szCs w:val="32"/>
        </w:rPr>
        <w:t>基本案情</w:t>
      </w:r>
      <w:r>
        <w:rPr>
          <w:rFonts w:ascii="黑体" w:eastAsia="黑体" w:hAnsi="黑体" w:hint="eastAsia"/>
          <w:sz w:val="32"/>
          <w:szCs w:val="32"/>
        </w:rPr>
        <w:t>】</w:t>
      </w:r>
    </w:p>
    <w:p w:rsidR="000B5303" w:rsidRPr="005E1925" w:rsidRDefault="003A1FA6"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长安财富资产管理有限公司（以下简称长安财富公司）</w:t>
      </w:r>
      <w:r w:rsidR="001E23C2" w:rsidRPr="005E1925">
        <w:rPr>
          <w:rFonts w:asciiTheme="minorEastAsia" w:eastAsiaTheme="minorEastAsia" w:hAnsiTheme="minorEastAsia" w:cs="宋体" w:hint="eastAsia"/>
          <w:color w:val="000000"/>
          <w:kern w:val="0"/>
          <w:sz w:val="28"/>
          <w:szCs w:val="32"/>
        </w:rPr>
        <w:t>为</w:t>
      </w:r>
      <w:r w:rsidRPr="005E1925">
        <w:rPr>
          <w:rFonts w:asciiTheme="minorEastAsia" w:eastAsiaTheme="minorEastAsia" w:hAnsiTheme="minorEastAsia" w:cs="宋体" w:hint="eastAsia"/>
          <w:color w:val="000000"/>
          <w:kern w:val="0"/>
          <w:sz w:val="28"/>
          <w:szCs w:val="32"/>
        </w:rPr>
        <w:t>诸暨天空长安股权投资合伙企业（有限合伙）（以下简称基金）</w:t>
      </w:r>
      <w:r w:rsidR="001E23C2" w:rsidRPr="005E1925">
        <w:rPr>
          <w:rFonts w:asciiTheme="minorEastAsia" w:eastAsiaTheme="minorEastAsia" w:hAnsiTheme="minorEastAsia" w:cs="宋体" w:hint="eastAsia"/>
          <w:color w:val="000000"/>
          <w:kern w:val="0"/>
          <w:sz w:val="28"/>
          <w:szCs w:val="32"/>
        </w:rPr>
        <w:t>的A</w:t>
      </w:r>
      <w:r w:rsidR="00E135CE" w:rsidRPr="005E1925">
        <w:rPr>
          <w:rFonts w:asciiTheme="minorEastAsia" w:eastAsiaTheme="minorEastAsia" w:hAnsiTheme="minorEastAsia" w:cs="宋体" w:hint="eastAsia"/>
          <w:color w:val="000000"/>
          <w:kern w:val="0"/>
          <w:sz w:val="28"/>
          <w:szCs w:val="32"/>
        </w:rPr>
        <w:t>类财产委托人及有限合伙人。</w:t>
      </w:r>
      <w:r w:rsidRPr="005E1925">
        <w:rPr>
          <w:rFonts w:asciiTheme="minorEastAsia" w:eastAsiaTheme="minorEastAsia" w:hAnsiTheme="minorEastAsia" w:cs="宋体" w:hint="eastAsia"/>
          <w:color w:val="000000"/>
          <w:kern w:val="0"/>
          <w:sz w:val="28"/>
          <w:szCs w:val="32"/>
        </w:rPr>
        <w:t>长城影视文化企业集团有限公司（以下简称长城影视集团）</w:t>
      </w:r>
      <w:proofErr w:type="gramStart"/>
      <w:r w:rsidR="001E23C2" w:rsidRPr="005E1925">
        <w:rPr>
          <w:rFonts w:asciiTheme="minorEastAsia" w:eastAsiaTheme="minorEastAsia" w:hAnsiTheme="minorEastAsia" w:cs="宋体" w:hint="eastAsia"/>
          <w:color w:val="000000"/>
          <w:kern w:val="0"/>
          <w:sz w:val="28"/>
          <w:szCs w:val="32"/>
        </w:rPr>
        <w:t>系基金</w:t>
      </w:r>
      <w:proofErr w:type="gramEnd"/>
      <w:r w:rsidR="001E23C2" w:rsidRPr="005E1925">
        <w:rPr>
          <w:rFonts w:asciiTheme="minorEastAsia" w:eastAsiaTheme="minorEastAsia" w:hAnsiTheme="minorEastAsia" w:cs="宋体" w:hint="eastAsia"/>
          <w:color w:val="000000"/>
          <w:kern w:val="0"/>
          <w:sz w:val="28"/>
          <w:szCs w:val="32"/>
        </w:rPr>
        <w:t>的B类财产委托人及有限合伙人。2016年10月25日，</w:t>
      </w:r>
      <w:r w:rsidRPr="005E1925">
        <w:rPr>
          <w:rFonts w:asciiTheme="minorEastAsia" w:eastAsiaTheme="minorEastAsia" w:hAnsiTheme="minorEastAsia" w:cs="宋体" w:hint="eastAsia"/>
          <w:color w:val="000000"/>
          <w:kern w:val="0"/>
          <w:sz w:val="28"/>
          <w:szCs w:val="32"/>
        </w:rPr>
        <w:t>长安财富公司</w:t>
      </w:r>
      <w:r w:rsidR="001E23C2" w:rsidRPr="005E1925">
        <w:rPr>
          <w:rFonts w:asciiTheme="minorEastAsia" w:eastAsiaTheme="minorEastAsia" w:hAnsiTheme="minorEastAsia" w:cs="宋体" w:hint="eastAsia"/>
          <w:color w:val="000000"/>
          <w:kern w:val="0"/>
          <w:sz w:val="28"/>
          <w:szCs w:val="32"/>
        </w:rPr>
        <w:t>与</w:t>
      </w:r>
      <w:r w:rsidRPr="005E1925">
        <w:rPr>
          <w:rFonts w:asciiTheme="minorEastAsia" w:eastAsiaTheme="minorEastAsia" w:hAnsiTheme="minorEastAsia" w:cs="宋体" w:hint="eastAsia"/>
          <w:color w:val="000000"/>
          <w:kern w:val="0"/>
          <w:sz w:val="28"/>
          <w:szCs w:val="32"/>
        </w:rPr>
        <w:t>长城影视集团</w:t>
      </w:r>
      <w:r w:rsidR="001E23C2" w:rsidRPr="005E1925">
        <w:rPr>
          <w:rFonts w:asciiTheme="minorEastAsia" w:eastAsiaTheme="minorEastAsia" w:hAnsiTheme="minorEastAsia" w:cs="宋体" w:hint="eastAsia"/>
          <w:color w:val="000000"/>
          <w:kern w:val="0"/>
          <w:sz w:val="28"/>
          <w:szCs w:val="32"/>
        </w:rPr>
        <w:t>签订《无条件受让及差额付款合同》，约定由</w:t>
      </w:r>
      <w:r w:rsidRPr="005E1925">
        <w:rPr>
          <w:rFonts w:asciiTheme="minorEastAsia" w:eastAsiaTheme="minorEastAsia" w:hAnsiTheme="minorEastAsia" w:cs="宋体" w:hint="eastAsia"/>
          <w:color w:val="000000"/>
          <w:kern w:val="0"/>
          <w:sz w:val="28"/>
          <w:szCs w:val="32"/>
        </w:rPr>
        <w:t>长城影视集团</w:t>
      </w:r>
      <w:r w:rsidR="001E23C2" w:rsidRPr="005E1925">
        <w:rPr>
          <w:rFonts w:asciiTheme="minorEastAsia" w:eastAsiaTheme="minorEastAsia" w:hAnsiTheme="minorEastAsia" w:cs="宋体" w:hint="eastAsia"/>
          <w:color w:val="000000"/>
          <w:kern w:val="0"/>
          <w:sz w:val="28"/>
          <w:szCs w:val="32"/>
        </w:rPr>
        <w:t>作为无条件受</w:t>
      </w:r>
      <w:proofErr w:type="gramStart"/>
      <w:r w:rsidR="001E23C2" w:rsidRPr="005E1925">
        <w:rPr>
          <w:rFonts w:asciiTheme="minorEastAsia" w:eastAsiaTheme="minorEastAsia" w:hAnsiTheme="minorEastAsia" w:cs="宋体" w:hint="eastAsia"/>
          <w:color w:val="000000"/>
          <w:kern w:val="0"/>
          <w:sz w:val="28"/>
          <w:szCs w:val="32"/>
        </w:rPr>
        <w:t>让义务</w:t>
      </w:r>
      <w:proofErr w:type="gramEnd"/>
      <w:r w:rsidR="001E23C2" w:rsidRPr="005E1925">
        <w:rPr>
          <w:rFonts w:asciiTheme="minorEastAsia" w:eastAsiaTheme="minorEastAsia" w:hAnsiTheme="minorEastAsia" w:cs="宋体" w:hint="eastAsia"/>
          <w:color w:val="000000"/>
          <w:kern w:val="0"/>
          <w:sz w:val="28"/>
          <w:szCs w:val="32"/>
        </w:rPr>
        <w:t>人，承诺在合同约定的情形发生时，无条件受让</w:t>
      </w:r>
      <w:r w:rsidRPr="005E1925">
        <w:rPr>
          <w:rFonts w:asciiTheme="minorEastAsia" w:eastAsiaTheme="minorEastAsia" w:hAnsiTheme="minorEastAsia" w:cs="宋体" w:hint="eastAsia"/>
          <w:color w:val="000000"/>
          <w:kern w:val="0"/>
          <w:sz w:val="28"/>
          <w:szCs w:val="32"/>
        </w:rPr>
        <w:t>长安财富公司</w:t>
      </w:r>
      <w:r w:rsidR="001E23C2" w:rsidRPr="005E1925">
        <w:rPr>
          <w:rFonts w:asciiTheme="minorEastAsia" w:eastAsiaTheme="minorEastAsia" w:hAnsiTheme="minorEastAsia" w:cs="宋体" w:hint="eastAsia"/>
          <w:color w:val="000000"/>
          <w:kern w:val="0"/>
          <w:sz w:val="28"/>
          <w:szCs w:val="32"/>
        </w:rPr>
        <w:t>持有的基金份额。同日，</w:t>
      </w:r>
      <w:r w:rsidR="000B3246" w:rsidRPr="005E1925">
        <w:rPr>
          <w:rFonts w:asciiTheme="minorEastAsia" w:eastAsiaTheme="minorEastAsia" w:hAnsiTheme="minorEastAsia" w:cs="宋体" w:hint="eastAsia"/>
          <w:color w:val="000000"/>
          <w:kern w:val="0"/>
          <w:sz w:val="28"/>
          <w:szCs w:val="32"/>
        </w:rPr>
        <w:t>长安财富公司</w:t>
      </w:r>
      <w:r w:rsidR="001E23C2" w:rsidRPr="005E1925">
        <w:rPr>
          <w:rFonts w:asciiTheme="minorEastAsia" w:eastAsiaTheme="minorEastAsia" w:hAnsiTheme="minorEastAsia" w:cs="宋体" w:hint="eastAsia"/>
          <w:color w:val="000000"/>
          <w:kern w:val="0"/>
          <w:sz w:val="28"/>
          <w:szCs w:val="32"/>
        </w:rPr>
        <w:t>与赵某</w:t>
      </w:r>
      <w:r w:rsidR="000E4427" w:rsidRPr="005E1925">
        <w:rPr>
          <w:rFonts w:asciiTheme="minorEastAsia" w:eastAsiaTheme="minorEastAsia" w:hAnsiTheme="minorEastAsia" w:cs="宋体" w:hint="eastAsia"/>
          <w:color w:val="000000"/>
          <w:kern w:val="0"/>
          <w:sz w:val="28"/>
          <w:szCs w:val="32"/>
        </w:rPr>
        <w:t>勇</w:t>
      </w:r>
      <w:r w:rsidR="001E23C2" w:rsidRPr="005E1925">
        <w:rPr>
          <w:rFonts w:asciiTheme="minorEastAsia" w:eastAsiaTheme="minorEastAsia" w:hAnsiTheme="minorEastAsia" w:cs="宋体" w:hint="eastAsia"/>
          <w:color w:val="000000"/>
          <w:kern w:val="0"/>
          <w:sz w:val="28"/>
          <w:szCs w:val="32"/>
        </w:rPr>
        <w:t>、陈某</w:t>
      </w:r>
      <w:r w:rsidR="000E4427" w:rsidRPr="005E1925">
        <w:rPr>
          <w:rFonts w:asciiTheme="minorEastAsia" w:eastAsiaTheme="minorEastAsia" w:hAnsiTheme="minorEastAsia" w:cs="宋体" w:hint="eastAsia"/>
          <w:color w:val="000000"/>
          <w:kern w:val="0"/>
          <w:sz w:val="28"/>
          <w:szCs w:val="32"/>
        </w:rPr>
        <w:t>美</w:t>
      </w:r>
      <w:r w:rsidR="001E23C2" w:rsidRPr="005E1925">
        <w:rPr>
          <w:rFonts w:asciiTheme="minorEastAsia" w:eastAsiaTheme="minorEastAsia" w:hAnsiTheme="minorEastAsia" w:cs="宋体" w:hint="eastAsia"/>
          <w:color w:val="000000"/>
          <w:kern w:val="0"/>
          <w:sz w:val="28"/>
          <w:szCs w:val="32"/>
        </w:rPr>
        <w:t>还分别各自签订两份《保证合同》，约定赵某</w:t>
      </w:r>
      <w:r w:rsidR="000E4427" w:rsidRPr="005E1925">
        <w:rPr>
          <w:rFonts w:asciiTheme="minorEastAsia" w:eastAsiaTheme="minorEastAsia" w:hAnsiTheme="minorEastAsia" w:cs="宋体" w:hint="eastAsia"/>
          <w:color w:val="000000"/>
          <w:kern w:val="0"/>
          <w:sz w:val="28"/>
          <w:szCs w:val="32"/>
        </w:rPr>
        <w:t>勇</w:t>
      </w:r>
      <w:r w:rsidR="001E23C2" w:rsidRPr="005E1925">
        <w:rPr>
          <w:rFonts w:asciiTheme="minorEastAsia" w:eastAsiaTheme="minorEastAsia" w:hAnsiTheme="minorEastAsia" w:cs="宋体" w:hint="eastAsia"/>
          <w:color w:val="000000"/>
          <w:kern w:val="0"/>
          <w:sz w:val="28"/>
          <w:szCs w:val="32"/>
        </w:rPr>
        <w:t>、陈某</w:t>
      </w:r>
      <w:r w:rsidR="000E4427" w:rsidRPr="005E1925">
        <w:rPr>
          <w:rFonts w:asciiTheme="minorEastAsia" w:eastAsiaTheme="minorEastAsia" w:hAnsiTheme="minorEastAsia" w:cs="宋体" w:hint="eastAsia"/>
          <w:color w:val="000000"/>
          <w:kern w:val="0"/>
          <w:sz w:val="28"/>
          <w:szCs w:val="32"/>
        </w:rPr>
        <w:t>美</w:t>
      </w:r>
      <w:r w:rsidR="001E23C2" w:rsidRPr="005E1925">
        <w:rPr>
          <w:rFonts w:asciiTheme="minorEastAsia" w:eastAsiaTheme="minorEastAsia" w:hAnsiTheme="minorEastAsia" w:cs="宋体" w:hint="eastAsia"/>
          <w:color w:val="000000"/>
          <w:kern w:val="0"/>
          <w:sz w:val="28"/>
          <w:szCs w:val="32"/>
        </w:rPr>
        <w:t>为</w:t>
      </w:r>
      <w:r w:rsidRPr="005E1925">
        <w:rPr>
          <w:rFonts w:asciiTheme="minorEastAsia" w:eastAsiaTheme="minorEastAsia" w:hAnsiTheme="minorEastAsia" w:cs="宋体" w:hint="eastAsia"/>
          <w:color w:val="000000"/>
          <w:kern w:val="0"/>
          <w:sz w:val="28"/>
          <w:szCs w:val="32"/>
        </w:rPr>
        <w:t>长城影视集团</w:t>
      </w:r>
      <w:r w:rsidR="001E23C2" w:rsidRPr="005E1925">
        <w:rPr>
          <w:rFonts w:asciiTheme="minorEastAsia" w:eastAsiaTheme="minorEastAsia" w:hAnsiTheme="minorEastAsia" w:cs="宋体" w:hint="eastAsia"/>
          <w:color w:val="000000"/>
          <w:kern w:val="0"/>
          <w:sz w:val="28"/>
          <w:szCs w:val="32"/>
        </w:rPr>
        <w:t>在《无条件受让及差额付款合同》项下所承担的义务承担连带责任保证。《无条件受让及差额付款合同》约定的受让情况包括：在基金运行期间，若自基金A类份额投资者的首期缴付资金实际到账之日起的30个月内，上市公司（指由</w:t>
      </w:r>
      <w:r w:rsidRPr="005E1925">
        <w:rPr>
          <w:rFonts w:asciiTheme="minorEastAsia" w:eastAsiaTheme="minorEastAsia" w:hAnsiTheme="minorEastAsia" w:cs="宋体" w:hint="eastAsia"/>
          <w:color w:val="000000"/>
          <w:kern w:val="0"/>
          <w:sz w:val="28"/>
          <w:szCs w:val="32"/>
        </w:rPr>
        <w:t>长城影视集团</w:t>
      </w:r>
      <w:r w:rsidR="001E23C2" w:rsidRPr="005E1925">
        <w:rPr>
          <w:rFonts w:asciiTheme="minorEastAsia" w:eastAsiaTheme="minorEastAsia" w:hAnsiTheme="minorEastAsia" w:cs="宋体" w:hint="eastAsia"/>
          <w:color w:val="000000"/>
          <w:kern w:val="0"/>
          <w:sz w:val="28"/>
          <w:szCs w:val="32"/>
        </w:rPr>
        <w:t>实际控制的上市公司）收购标的公司（该公司由基金全资控股）未获得中国证监会或其他有权审批机关的批准，或自基金A类份额投资者的首期缴付资金实际到账之日起的30个月内上市公司还未完成收购标的公司，或其他原因导致基金未完成所持有标的公司股权的全部转让。按照《无条件受让及差额付款合同》约定的30个月时间计算，上市公司应当于2019年6月29日以前完成对标的公司的收购。截至</w:t>
      </w:r>
      <w:r w:rsidRPr="005E1925">
        <w:rPr>
          <w:rFonts w:asciiTheme="minorEastAsia" w:eastAsiaTheme="minorEastAsia" w:hAnsiTheme="minorEastAsia" w:cs="宋体" w:hint="eastAsia"/>
          <w:color w:val="000000"/>
          <w:kern w:val="0"/>
          <w:sz w:val="28"/>
          <w:szCs w:val="32"/>
        </w:rPr>
        <w:t>长安财富公司</w:t>
      </w:r>
      <w:r w:rsidR="001E23C2" w:rsidRPr="005E1925">
        <w:rPr>
          <w:rFonts w:asciiTheme="minorEastAsia" w:eastAsiaTheme="minorEastAsia" w:hAnsiTheme="minorEastAsia" w:cs="宋体" w:hint="eastAsia"/>
          <w:color w:val="000000"/>
          <w:kern w:val="0"/>
          <w:sz w:val="28"/>
          <w:szCs w:val="32"/>
        </w:rPr>
        <w:t>起诉之日，标的公司的收购程序仍未启动。另，基金合伙协议约定，合伙企业财产份额转让的有效申请，需经代表全部表决权的合伙人一致表决同意。合伙协议另约定，经协商一致，合伙人可以通过签订补充协议的方式修改本协议或对未尽事宜进行补充。合伙协议还约定，附件作为本协议的组成部分，与本协议具有同等法律效力。同时，合伙协议还约定，若A类资产份额</w:t>
      </w:r>
      <w:proofErr w:type="gramStart"/>
      <w:r w:rsidR="001E23C2" w:rsidRPr="005E1925">
        <w:rPr>
          <w:rFonts w:asciiTheme="minorEastAsia" w:eastAsiaTheme="minorEastAsia" w:hAnsiTheme="minorEastAsia" w:cs="宋体" w:hint="eastAsia"/>
          <w:color w:val="000000"/>
          <w:kern w:val="0"/>
          <w:sz w:val="28"/>
          <w:szCs w:val="32"/>
        </w:rPr>
        <w:t>的年化投资收益率</w:t>
      </w:r>
      <w:proofErr w:type="gramEnd"/>
      <w:r w:rsidR="001E23C2" w:rsidRPr="005E1925">
        <w:rPr>
          <w:rFonts w:asciiTheme="minorEastAsia" w:eastAsiaTheme="minorEastAsia" w:hAnsiTheme="minorEastAsia" w:cs="宋体" w:hint="eastAsia"/>
          <w:color w:val="000000"/>
          <w:kern w:val="0"/>
          <w:sz w:val="28"/>
          <w:szCs w:val="32"/>
        </w:rPr>
        <w:t>低于预期最低投资收益，则《无条件受让及差额付款合同》《保证合同》中的具体约定，由相关义务人履行补足义务及担保义务。故</w:t>
      </w:r>
      <w:r w:rsidRPr="005E1925">
        <w:rPr>
          <w:rFonts w:asciiTheme="minorEastAsia" w:eastAsiaTheme="minorEastAsia" w:hAnsiTheme="minorEastAsia" w:cs="宋体" w:hint="eastAsia"/>
          <w:color w:val="000000"/>
          <w:kern w:val="0"/>
          <w:sz w:val="28"/>
          <w:szCs w:val="32"/>
        </w:rPr>
        <w:t>长安财富公司</w:t>
      </w:r>
      <w:r w:rsidR="001E23C2" w:rsidRPr="005E1925">
        <w:rPr>
          <w:rFonts w:asciiTheme="minorEastAsia" w:eastAsiaTheme="minorEastAsia" w:hAnsiTheme="minorEastAsia" w:cs="宋体" w:hint="eastAsia"/>
          <w:color w:val="000000"/>
          <w:kern w:val="0"/>
          <w:sz w:val="28"/>
          <w:szCs w:val="32"/>
        </w:rPr>
        <w:t>诉请</w:t>
      </w:r>
      <w:r w:rsidRPr="005E1925">
        <w:rPr>
          <w:rFonts w:asciiTheme="minorEastAsia" w:eastAsiaTheme="minorEastAsia" w:hAnsiTheme="minorEastAsia" w:cs="宋体" w:hint="eastAsia"/>
          <w:color w:val="000000"/>
          <w:kern w:val="0"/>
          <w:sz w:val="28"/>
          <w:szCs w:val="32"/>
        </w:rPr>
        <w:t>长城影视集团</w:t>
      </w:r>
      <w:r w:rsidR="001E23C2" w:rsidRPr="005E1925">
        <w:rPr>
          <w:rFonts w:asciiTheme="minorEastAsia" w:eastAsiaTheme="minorEastAsia" w:hAnsiTheme="minorEastAsia" w:cs="宋体" w:hint="eastAsia"/>
          <w:color w:val="000000"/>
          <w:kern w:val="0"/>
          <w:sz w:val="28"/>
          <w:szCs w:val="32"/>
        </w:rPr>
        <w:t>支付基金份额受让价款，赔偿因其违约所导致的损失；赵某</w:t>
      </w:r>
      <w:r w:rsidR="000E4427" w:rsidRPr="005E1925">
        <w:rPr>
          <w:rFonts w:asciiTheme="minorEastAsia" w:eastAsiaTheme="minorEastAsia" w:hAnsiTheme="minorEastAsia" w:cs="宋体" w:hint="eastAsia"/>
          <w:color w:val="000000"/>
          <w:kern w:val="0"/>
          <w:sz w:val="28"/>
          <w:szCs w:val="32"/>
        </w:rPr>
        <w:t>勇</w:t>
      </w:r>
      <w:r w:rsidR="001E23C2" w:rsidRPr="005E1925">
        <w:rPr>
          <w:rFonts w:asciiTheme="minorEastAsia" w:eastAsiaTheme="minorEastAsia" w:hAnsiTheme="minorEastAsia" w:cs="宋体" w:hint="eastAsia"/>
          <w:color w:val="000000"/>
          <w:kern w:val="0"/>
          <w:sz w:val="28"/>
          <w:szCs w:val="32"/>
        </w:rPr>
        <w:t>、陈某</w:t>
      </w:r>
      <w:r w:rsidR="000E4427" w:rsidRPr="005E1925">
        <w:rPr>
          <w:rFonts w:asciiTheme="minorEastAsia" w:eastAsiaTheme="minorEastAsia" w:hAnsiTheme="minorEastAsia" w:cs="宋体" w:hint="eastAsia"/>
          <w:color w:val="000000"/>
          <w:kern w:val="0"/>
          <w:sz w:val="28"/>
          <w:szCs w:val="32"/>
        </w:rPr>
        <w:t>美</w:t>
      </w:r>
      <w:r w:rsidR="001E23C2" w:rsidRPr="005E1925">
        <w:rPr>
          <w:rFonts w:asciiTheme="minorEastAsia" w:eastAsiaTheme="minorEastAsia" w:hAnsiTheme="minorEastAsia" w:cs="宋体" w:hint="eastAsia"/>
          <w:color w:val="000000"/>
          <w:kern w:val="0"/>
          <w:sz w:val="28"/>
          <w:szCs w:val="32"/>
        </w:rPr>
        <w:t>对</w:t>
      </w:r>
      <w:r w:rsidRPr="005E1925">
        <w:rPr>
          <w:rFonts w:asciiTheme="minorEastAsia" w:eastAsiaTheme="minorEastAsia" w:hAnsiTheme="minorEastAsia" w:cs="宋体" w:hint="eastAsia"/>
          <w:color w:val="000000"/>
          <w:kern w:val="0"/>
          <w:sz w:val="28"/>
          <w:szCs w:val="32"/>
        </w:rPr>
        <w:t>长城影视集团</w:t>
      </w:r>
      <w:r w:rsidR="001E23C2" w:rsidRPr="005E1925">
        <w:rPr>
          <w:rFonts w:asciiTheme="minorEastAsia" w:eastAsiaTheme="minorEastAsia" w:hAnsiTheme="minorEastAsia" w:cs="宋体" w:hint="eastAsia"/>
          <w:color w:val="000000"/>
          <w:kern w:val="0"/>
          <w:sz w:val="28"/>
          <w:szCs w:val="32"/>
        </w:rPr>
        <w:t>上述债务承担连带保证责任。</w:t>
      </w:r>
    </w:p>
    <w:p w:rsidR="004E5F6D" w:rsidRPr="005E1925" w:rsidRDefault="000E4427" w:rsidP="005E1925">
      <w:pPr>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上海金融法院</w:t>
      </w:r>
      <w:r w:rsidR="00680327" w:rsidRPr="005E1925">
        <w:rPr>
          <w:rFonts w:asciiTheme="minorEastAsia" w:eastAsiaTheme="minorEastAsia" w:hAnsiTheme="minorEastAsia" w:cs="宋体" w:hint="eastAsia"/>
          <w:color w:val="000000"/>
          <w:kern w:val="0"/>
          <w:sz w:val="28"/>
          <w:szCs w:val="32"/>
        </w:rPr>
        <w:t>一审</w:t>
      </w:r>
      <w:r w:rsidR="00E135CE" w:rsidRPr="005E1925">
        <w:rPr>
          <w:rFonts w:asciiTheme="minorEastAsia" w:eastAsiaTheme="minorEastAsia" w:hAnsiTheme="minorEastAsia" w:cs="宋体" w:hint="eastAsia"/>
          <w:color w:val="000000"/>
          <w:kern w:val="0"/>
          <w:sz w:val="28"/>
          <w:szCs w:val="32"/>
        </w:rPr>
        <w:t>判决</w:t>
      </w:r>
      <w:r w:rsidR="003A1FA6" w:rsidRPr="005E1925">
        <w:rPr>
          <w:rFonts w:asciiTheme="minorEastAsia" w:eastAsiaTheme="minorEastAsia" w:hAnsiTheme="minorEastAsia" w:cs="宋体" w:hint="eastAsia"/>
          <w:color w:val="000000"/>
          <w:kern w:val="0"/>
          <w:sz w:val="28"/>
          <w:szCs w:val="32"/>
        </w:rPr>
        <w:t>长城影视集团</w:t>
      </w:r>
      <w:r w:rsidRPr="005E1925">
        <w:rPr>
          <w:rFonts w:asciiTheme="minorEastAsia" w:eastAsiaTheme="minorEastAsia" w:hAnsiTheme="minorEastAsia" w:cs="宋体" w:hint="eastAsia"/>
          <w:color w:val="000000"/>
          <w:kern w:val="0"/>
          <w:sz w:val="28"/>
          <w:szCs w:val="32"/>
        </w:rPr>
        <w:t>支付</w:t>
      </w:r>
      <w:r w:rsidR="003A1FA6" w:rsidRPr="005E1925">
        <w:rPr>
          <w:rFonts w:asciiTheme="minorEastAsia" w:eastAsiaTheme="minorEastAsia" w:hAnsiTheme="minorEastAsia" w:cs="宋体" w:hint="eastAsia"/>
          <w:color w:val="000000"/>
          <w:kern w:val="0"/>
          <w:sz w:val="28"/>
          <w:szCs w:val="32"/>
        </w:rPr>
        <w:t>长安财富公司</w:t>
      </w:r>
      <w:r w:rsidRPr="005E1925">
        <w:rPr>
          <w:rFonts w:asciiTheme="minorEastAsia" w:eastAsiaTheme="minorEastAsia" w:hAnsiTheme="minorEastAsia" w:cs="宋体" w:hint="eastAsia"/>
          <w:color w:val="000000"/>
          <w:kern w:val="0"/>
          <w:sz w:val="28"/>
          <w:szCs w:val="32"/>
        </w:rPr>
        <w:t>基金份额受让价款</w:t>
      </w:r>
      <w:r w:rsidR="00E135CE" w:rsidRPr="005E1925">
        <w:rPr>
          <w:rFonts w:asciiTheme="minorEastAsia" w:eastAsiaTheme="minorEastAsia" w:hAnsiTheme="minorEastAsia" w:cs="宋体" w:hint="eastAsia"/>
          <w:color w:val="000000"/>
          <w:kern w:val="0"/>
          <w:sz w:val="28"/>
          <w:szCs w:val="32"/>
        </w:rPr>
        <w:t>106,156,917.50元</w:t>
      </w:r>
      <w:r w:rsidRPr="005E1925">
        <w:rPr>
          <w:rFonts w:asciiTheme="minorEastAsia" w:eastAsiaTheme="minorEastAsia" w:hAnsiTheme="minorEastAsia" w:cs="宋体" w:hint="eastAsia"/>
          <w:color w:val="000000"/>
          <w:kern w:val="0"/>
          <w:sz w:val="28"/>
          <w:szCs w:val="32"/>
        </w:rPr>
        <w:t>并赔偿违约损失造成的损失（以基金份额受让价款为基数，按照日利率万分之五，计算自2019年2月2</w:t>
      </w:r>
      <w:r w:rsidR="00E135CE" w:rsidRPr="005E1925">
        <w:rPr>
          <w:rFonts w:asciiTheme="minorEastAsia" w:eastAsiaTheme="minorEastAsia" w:hAnsiTheme="minorEastAsia" w:cs="宋体" w:hint="eastAsia"/>
          <w:color w:val="000000"/>
          <w:kern w:val="0"/>
          <w:sz w:val="28"/>
          <w:szCs w:val="32"/>
        </w:rPr>
        <w:t>日起至实际支付日止）；</w:t>
      </w:r>
      <w:r w:rsidRPr="005E1925">
        <w:rPr>
          <w:rFonts w:asciiTheme="minorEastAsia" w:eastAsiaTheme="minorEastAsia" w:hAnsiTheme="minorEastAsia" w:cs="宋体" w:hint="eastAsia"/>
          <w:color w:val="000000"/>
          <w:kern w:val="0"/>
          <w:sz w:val="28"/>
          <w:szCs w:val="32"/>
        </w:rPr>
        <w:t>赵某</w:t>
      </w:r>
      <w:r w:rsidR="0014592E" w:rsidRPr="005E1925">
        <w:rPr>
          <w:rFonts w:asciiTheme="minorEastAsia" w:eastAsiaTheme="minorEastAsia" w:hAnsiTheme="minorEastAsia" w:cs="宋体" w:hint="eastAsia"/>
          <w:color w:val="000000"/>
          <w:kern w:val="0"/>
          <w:sz w:val="28"/>
          <w:szCs w:val="32"/>
        </w:rPr>
        <w:t>勇</w:t>
      </w:r>
      <w:r w:rsidR="00E135CE" w:rsidRPr="005E1925">
        <w:rPr>
          <w:rFonts w:asciiTheme="minorEastAsia" w:eastAsiaTheme="minorEastAsia" w:hAnsiTheme="minorEastAsia" w:cs="宋体" w:hint="eastAsia"/>
          <w:color w:val="000000"/>
          <w:kern w:val="0"/>
          <w:sz w:val="28"/>
          <w:szCs w:val="32"/>
        </w:rPr>
        <w:t>、</w:t>
      </w:r>
      <w:r w:rsidRPr="005E1925">
        <w:rPr>
          <w:rFonts w:asciiTheme="minorEastAsia" w:eastAsiaTheme="minorEastAsia" w:hAnsiTheme="minorEastAsia" w:cs="宋体" w:hint="eastAsia"/>
          <w:color w:val="000000"/>
          <w:kern w:val="0"/>
          <w:sz w:val="28"/>
          <w:szCs w:val="32"/>
        </w:rPr>
        <w:t>陈</w:t>
      </w:r>
      <w:r w:rsidR="0014592E" w:rsidRPr="005E1925">
        <w:rPr>
          <w:rFonts w:asciiTheme="minorEastAsia" w:eastAsiaTheme="minorEastAsia" w:hAnsiTheme="minorEastAsia" w:cs="宋体" w:hint="eastAsia"/>
          <w:color w:val="000000"/>
          <w:kern w:val="0"/>
          <w:sz w:val="28"/>
          <w:szCs w:val="32"/>
        </w:rPr>
        <w:t>美</w:t>
      </w:r>
      <w:r w:rsidR="00E135CE" w:rsidRPr="005E1925">
        <w:rPr>
          <w:rFonts w:asciiTheme="minorEastAsia" w:eastAsiaTheme="minorEastAsia" w:hAnsiTheme="minorEastAsia" w:cs="宋体" w:hint="eastAsia"/>
          <w:color w:val="000000"/>
          <w:kern w:val="0"/>
          <w:sz w:val="28"/>
          <w:szCs w:val="32"/>
        </w:rPr>
        <w:t>某就</w:t>
      </w:r>
      <w:r w:rsidR="003A1FA6" w:rsidRPr="005E1925">
        <w:rPr>
          <w:rFonts w:asciiTheme="minorEastAsia" w:eastAsiaTheme="minorEastAsia" w:hAnsiTheme="minorEastAsia" w:cs="宋体" w:hint="eastAsia"/>
          <w:color w:val="000000"/>
          <w:kern w:val="0"/>
          <w:sz w:val="28"/>
          <w:szCs w:val="32"/>
        </w:rPr>
        <w:t>长城影视集团</w:t>
      </w:r>
      <w:r w:rsidRPr="005E1925">
        <w:rPr>
          <w:rFonts w:asciiTheme="minorEastAsia" w:eastAsiaTheme="minorEastAsia" w:hAnsiTheme="minorEastAsia" w:cs="宋体" w:hint="eastAsia"/>
          <w:color w:val="000000"/>
          <w:kern w:val="0"/>
          <w:sz w:val="28"/>
          <w:szCs w:val="32"/>
        </w:rPr>
        <w:t>的上述债务承担连带保证责任。宣判后，当事人均未提出上诉。一审判决已生效。</w:t>
      </w:r>
    </w:p>
    <w:p w:rsidR="006949EA" w:rsidRPr="005E1925" w:rsidRDefault="006949EA" w:rsidP="005E1925">
      <w:pPr>
        <w:snapToGrid w:val="0"/>
        <w:spacing w:line="560" w:lineRule="exact"/>
        <w:ind w:firstLineChars="200" w:firstLine="560"/>
        <w:rPr>
          <w:rFonts w:asciiTheme="minorEastAsia" w:eastAsiaTheme="minorEastAsia" w:hAnsiTheme="minorEastAsia" w:cs="宋体"/>
          <w:color w:val="000000"/>
          <w:kern w:val="0"/>
          <w:sz w:val="28"/>
          <w:szCs w:val="32"/>
        </w:rPr>
      </w:pPr>
    </w:p>
    <w:p w:rsidR="00076C39" w:rsidRDefault="00076C39" w:rsidP="00076C39">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【专家点评】</w:t>
      </w:r>
    </w:p>
    <w:p w:rsidR="00076C39" w:rsidRPr="005E1925" w:rsidRDefault="00076C39" w:rsidP="005E1925">
      <w:pPr>
        <w:widowControl/>
        <w:spacing w:line="560" w:lineRule="exact"/>
        <w:ind w:firstLineChars="200" w:firstLine="560"/>
        <w:jc w:val="left"/>
        <w:rPr>
          <w:rFonts w:ascii="黑体" w:eastAsia="黑体" w:hAnsi="黑体"/>
          <w:color w:val="000000"/>
          <w:kern w:val="0"/>
          <w:sz w:val="28"/>
          <w:szCs w:val="32"/>
        </w:rPr>
      </w:pPr>
      <w:r w:rsidRPr="005E1925">
        <w:rPr>
          <w:rFonts w:ascii="黑体" w:eastAsia="黑体" w:hAnsi="黑体" w:hint="eastAsia"/>
          <w:color w:val="000000"/>
          <w:kern w:val="0"/>
          <w:sz w:val="28"/>
          <w:szCs w:val="32"/>
        </w:rPr>
        <w:t>点评人：吴弘，华东政法大学教授</w:t>
      </w:r>
    </w:p>
    <w:p w:rsidR="00076C39" w:rsidRPr="005E1925" w:rsidRDefault="00076C39"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本案涉及有限合伙型基金的合伙份额内部转让问题。一是合伙份额能否内部转让问题。《合伙企业法》允许合伙企业内部转让，对内转让需要通知其他合伙人，对外转让则需其他合伙人一致同意。本案中两有限合伙人之间按事先约定转让份额，并已通知所有合伙人，而且有关转让的事先约定已写入合伙协议，得到了所有合伙人的实际认可，因此该转让是合法有效的。</w:t>
      </w:r>
    </w:p>
    <w:p w:rsidR="00076C39" w:rsidRPr="005E1925" w:rsidRDefault="00076C39"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二是两合伙人事先约定转让的条件是否有效。本案两合伙人之间约定了具体的收购事项未实现、或存在损害出让方利益情形时，出让方可要求对方受让其合伙份额，这实际是利用对</w:t>
      </w:r>
      <w:proofErr w:type="gramStart"/>
      <w:r w:rsidRPr="005E1925">
        <w:rPr>
          <w:rFonts w:asciiTheme="minorEastAsia" w:eastAsiaTheme="minorEastAsia" w:hAnsiTheme="minorEastAsia" w:cs="宋体" w:hint="eastAsia"/>
          <w:color w:val="000000"/>
          <w:kern w:val="0"/>
          <w:sz w:val="28"/>
          <w:szCs w:val="32"/>
        </w:rPr>
        <w:t>赌方式</w:t>
      </w:r>
      <w:proofErr w:type="gramEnd"/>
      <w:r w:rsidRPr="005E1925">
        <w:rPr>
          <w:rFonts w:asciiTheme="minorEastAsia" w:eastAsiaTheme="minorEastAsia" w:hAnsiTheme="minorEastAsia" w:cs="宋体" w:hint="eastAsia"/>
          <w:color w:val="000000"/>
          <w:kern w:val="0"/>
          <w:sz w:val="28"/>
          <w:szCs w:val="32"/>
        </w:rPr>
        <w:t>保障投资人的权益。现行法律对此类保障投资权益的对赌约定均无禁止。且两当事人均为私募基金的合伙人，对赌约定并不涉及社会公众利益，也不损害同一私募基金的其他合伙人利益，所以转让条件约定也是有效的。</w:t>
      </w:r>
    </w:p>
    <w:p w:rsidR="00076C39" w:rsidRPr="005E1925" w:rsidRDefault="00076C39"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三是事先约定的转让条件涉及无条件</w:t>
      </w:r>
      <w:proofErr w:type="gramStart"/>
      <w:r w:rsidRPr="005E1925">
        <w:rPr>
          <w:rFonts w:asciiTheme="minorEastAsia" w:eastAsiaTheme="minorEastAsia" w:hAnsiTheme="minorEastAsia" w:cs="宋体" w:hint="eastAsia"/>
          <w:color w:val="000000"/>
          <w:kern w:val="0"/>
          <w:sz w:val="28"/>
          <w:szCs w:val="32"/>
        </w:rPr>
        <w:t>受让及差额</w:t>
      </w:r>
      <w:proofErr w:type="gramEnd"/>
      <w:r w:rsidRPr="005E1925">
        <w:rPr>
          <w:rFonts w:asciiTheme="minorEastAsia" w:eastAsiaTheme="minorEastAsia" w:hAnsiTheme="minorEastAsia" w:cs="宋体" w:hint="eastAsia"/>
          <w:color w:val="000000"/>
          <w:kern w:val="0"/>
          <w:sz w:val="28"/>
          <w:szCs w:val="32"/>
        </w:rPr>
        <w:t>补足内容是否违反不得保底的禁止性规定。本案约定的转让条件的双方均为有限合伙人和私募基金投资人，不是基金管理人，两投资人之间的承诺内容不属于《私募投资基金监督管理暂行办法》明文禁止的私募基金管理人向投资人承诺投资本金不受损失或承诺最低收益，并未违反相关规定。</w:t>
      </w:r>
    </w:p>
    <w:p w:rsidR="00076C39" w:rsidRDefault="00076C39"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所以本案审理裁判不仅完全符合《合伙企业法》《合同法》等规定，也与《民法典》的精神与规范相吻合。</w:t>
      </w:r>
    </w:p>
    <w:p w:rsidR="005E1925" w:rsidRDefault="005E1925"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2C2B26" w:rsidRDefault="002C2B26"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2C2B26" w:rsidRDefault="002C2B26"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2C2B26" w:rsidRDefault="002C2B26"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2C2B26" w:rsidRDefault="002C2B26"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2C2B26" w:rsidRDefault="002C2B26"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2C2B26" w:rsidRDefault="002C2B26"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2C2B26" w:rsidRDefault="002C2B26"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2C2B26" w:rsidRDefault="002C2B26"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5E1925" w:rsidRPr="005E1925" w:rsidRDefault="005E1925"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167D97" w:rsidRPr="005E1925" w:rsidRDefault="009B53CD" w:rsidP="009B53CD">
      <w:pPr>
        <w:widowControl/>
        <w:spacing w:line="560" w:lineRule="exact"/>
        <w:jc w:val="center"/>
        <w:rPr>
          <w:rFonts w:ascii="黑体" w:eastAsia="黑体" w:hAnsi="黑体"/>
          <w:color w:val="000000"/>
          <w:kern w:val="0"/>
          <w:sz w:val="32"/>
          <w:szCs w:val="36"/>
        </w:rPr>
      </w:pPr>
      <w:r w:rsidRPr="005E1925">
        <w:rPr>
          <w:rFonts w:ascii="黑体" w:eastAsia="黑体" w:hAnsi="黑体" w:hint="eastAsia"/>
          <w:color w:val="000000"/>
          <w:kern w:val="0"/>
          <w:sz w:val="32"/>
          <w:szCs w:val="36"/>
        </w:rPr>
        <w:t>上市公司对外关联担保的效力认定</w:t>
      </w:r>
    </w:p>
    <w:p w:rsidR="00CE7F0B" w:rsidRPr="005E1925" w:rsidRDefault="00FB7648" w:rsidP="009B53CD">
      <w:pPr>
        <w:widowControl/>
        <w:spacing w:line="560" w:lineRule="exact"/>
        <w:jc w:val="center"/>
        <w:rPr>
          <w:rFonts w:asciiTheme="minorEastAsia" w:eastAsiaTheme="minorEastAsia" w:hAnsiTheme="minorEastAsia" w:cs="宋体"/>
          <w:color w:val="000000"/>
          <w:kern w:val="0"/>
          <w:sz w:val="28"/>
          <w:szCs w:val="32"/>
        </w:rPr>
      </w:pPr>
      <w:r>
        <w:rPr>
          <w:rFonts w:ascii="仿宋_GB2312" w:eastAsia="仿宋_GB2312" w:hAnsi="宋体" w:hint="eastAsia"/>
          <w:color w:val="000000"/>
          <w:kern w:val="0"/>
          <w:sz w:val="32"/>
          <w:szCs w:val="32"/>
        </w:rPr>
        <w:t>——</w:t>
      </w:r>
      <w:r w:rsidR="00EF4A9F" w:rsidRPr="005E1925">
        <w:rPr>
          <w:rFonts w:asciiTheme="minorEastAsia" w:eastAsiaTheme="minorEastAsia" w:hAnsiTheme="minorEastAsia" w:cs="宋体" w:hint="eastAsia"/>
          <w:color w:val="000000"/>
          <w:kern w:val="0"/>
          <w:sz w:val="28"/>
          <w:szCs w:val="32"/>
        </w:rPr>
        <w:t>上诉人湖南天</w:t>
      </w:r>
      <w:proofErr w:type="gramStart"/>
      <w:r w:rsidR="00EF4A9F" w:rsidRPr="005E1925">
        <w:rPr>
          <w:rFonts w:asciiTheme="minorEastAsia" w:eastAsiaTheme="minorEastAsia" w:hAnsiTheme="minorEastAsia" w:cs="宋体" w:hint="eastAsia"/>
          <w:color w:val="000000"/>
          <w:kern w:val="0"/>
          <w:sz w:val="28"/>
          <w:szCs w:val="32"/>
        </w:rPr>
        <w:t>润数字</w:t>
      </w:r>
      <w:proofErr w:type="gramEnd"/>
      <w:r w:rsidR="00EF4A9F" w:rsidRPr="005E1925">
        <w:rPr>
          <w:rFonts w:asciiTheme="minorEastAsia" w:eastAsiaTheme="minorEastAsia" w:hAnsiTheme="minorEastAsia" w:cs="宋体" w:hint="eastAsia"/>
          <w:color w:val="000000"/>
          <w:kern w:val="0"/>
          <w:sz w:val="28"/>
          <w:szCs w:val="32"/>
        </w:rPr>
        <w:t>娱乐文化传媒股份有限公司与被上诉人</w:t>
      </w:r>
      <w:proofErr w:type="gramStart"/>
      <w:r w:rsidR="00EF4A9F" w:rsidRPr="005E1925">
        <w:rPr>
          <w:rFonts w:asciiTheme="minorEastAsia" w:eastAsiaTheme="minorEastAsia" w:hAnsiTheme="minorEastAsia" w:cs="宋体" w:hint="eastAsia"/>
          <w:color w:val="000000"/>
          <w:kern w:val="0"/>
          <w:sz w:val="28"/>
          <w:szCs w:val="32"/>
        </w:rPr>
        <w:t>恒旺管理</w:t>
      </w:r>
      <w:proofErr w:type="gramEnd"/>
      <w:r w:rsidR="00EF4A9F" w:rsidRPr="005E1925">
        <w:rPr>
          <w:rFonts w:asciiTheme="minorEastAsia" w:eastAsiaTheme="minorEastAsia" w:hAnsiTheme="minorEastAsia" w:cs="宋体" w:hint="eastAsia"/>
          <w:color w:val="000000"/>
          <w:kern w:val="0"/>
          <w:sz w:val="28"/>
          <w:szCs w:val="32"/>
        </w:rPr>
        <w:t>咨询（深圳）有限公司等其他合同纠纷案</w:t>
      </w:r>
    </w:p>
    <w:p w:rsidR="00806E86" w:rsidRPr="005E1925" w:rsidRDefault="00806E86" w:rsidP="009B53CD">
      <w:pPr>
        <w:widowControl/>
        <w:spacing w:line="560" w:lineRule="exact"/>
        <w:jc w:val="center"/>
        <w:rPr>
          <w:rFonts w:ascii="仿宋_GB2312" w:eastAsia="仿宋_GB2312" w:hAnsi="宋体"/>
          <w:color w:val="000000"/>
          <w:kern w:val="0"/>
          <w:sz w:val="28"/>
          <w:szCs w:val="32"/>
        </w:rPr>
      </w:pPr>
    </w:p>
    <w:p w:rsidR="000B5303" w:rsidRPr="007002AD" w:rsidRDefault="00076C39" w:rsidP="000A7638">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w:t>
      </w:r>
      <w:r w:rsidR="000B5303">
        <w:rPr>
          <w:rFonts w:ascii="黑体" w:eastAsia="黑体" w:hAnsi="黑体" w:hint="eastAsia"/>
          <w:sz w:val="32"/>
          <w:szCs w:val="32"/>
        </w:rPr>
        <w:t>基本案情</w:t>
      </w:r>
      <w:r>
        <w:rPr>
          <w:rFonts w:ascii="黑体" w:eastAsia="黑体" w:hAnsi="黑体" w:hint="eastAsia"/>
          <w:sz w:val="32"/>
          <w:szCs w:val="32"/>
        </w:rPr>
        <w:t>】</w:t>
      </w:r>
    </w:p>
    <w:p w:rsidR="0081469B" w:rsidRPr="005E1925" w:rsidRDefault="0081469B"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2018年10月29日，</w:t>
      </w:r>
      <w:proofErr w:type="gramStart"/>
      <w:r w:rsidR="00F322F7" w:rsidRPr="005E1925">
        <w:rPr>
          <w:rFonts w:asciiTheme="minorEastAsia" w:eastAsiaTheme="minorEastAsia" w:hAnsiTheme="minorEastAsia" w:cs="宋体" w:hint="eastAsia"/>
          <w:color w:val="000000"/>
          <w:kern w:val="0"/>
          <w:sz w:val="28"/>
          <w:szCs w:val="32"/>
        </w:rPr>
        <w:t>恒旺管理</w:t>
      </w:r>
      <w:proofErr w:type="gramEnd"/>
      <w:r w:rsidR="00F322F7" w:rsidRPr="005E1925">
        <w:rPr>
          <w:rFonts w:asciiTheme="minorEastAsia" w:eastAsiaTheme="minorEastAsia" w:hAnsiTheme="minorEastAsia" w:cs="宋体" w:hint="eastAsia"/>
          <w:color w:val="000000"/>
          <w:kern w:val="0"/>
          <w:sz w:val="28"/>
          <w:szCs w:val="32"/>
        </w:rPr>
        <w:t>咨询（深圳）有限公司（以下</w:t>
      </w:r>
      <w:proofErr w:type="gramStart"/>
      <w:r w:rsidR="00F322F7" w:rsidRPr="005E1925">
        <w:rPr>
          <w:rFonts w:asciiTheme="minorEastAsia" w:eastAsiaTheme="minorEastAsia" w:hAnsiTheme="minorEastAsia" w:cs="宋体" w:hint="eastAsia"/>
          <w:color w:val="000000"/>
          <w:kern w:val="0"/>
          <w:sz w:val="28"/>
          <w:szCs w:val="32"/>
        </w:rPr>
        <w:t>简称恒旺公司</w:t>
      </w:r>
      <w:proofErr w:type="gramEnd"/>
      <w:r w:rsidR="00F322F7" w:rsidRPr="005E1925">
        <w:rPr>
          <w:rFonts w:asciiTheme="minorEastAsia" w:eastAsiaTheme="minorEastAsia" w:hAnsiTheme="minorEastAsia" w:cs="宋体" w:hint="eastAsia"/>
          <w:color w:val="000000"/>
          <w:kern w:val="0"/>
          <w:sz w:val="28"/>
          <w:szCs w:val="32"/>
        </w:rPr>
        <w:t>）</w:t>
      </w:r>
      <w:r w:rsidRPr="005E1925">
        <w:rPr>
          <w:rFonts w:asciiTheme="minorEastAsia" w:eastAsiaTheme="minorEastAsia" w:hAnsiTheme="minorEastAsia" w:cs="宋体" w:hint="eastAsia"/>
          <w:color w:val="000000"/>
          <w:kern w:val="0"/>
          <w:sz w:val="28"/>
          <w:szCs w:val="32"/>
        </w:rPr>
        <w:t>与</w:t>
      </w:r>
      <w:r w:rsidR="00F322F7" w:rsidRPr="005E1925">
        <w:rPr>
          <w:rFonts w:asciiTheme="minorEastAsia" w:eastAsiaTheme="minorEastAsia" w:hAnsiTheme="minorEastAsia" w:cs="宋体" w:hint="eastAsia"/>
          <w:color w:val="000000"/>
          <w:kern w:val="0"/>
          <w:sz w:val="28"/>
          <w:szCs w:val="32"/>
        </w:rPr>
        <w:t>广州</w:t>
      </w:r>
      <w:proofErr w:type="gramStart"/>
      <w:r w:rsidR="00F322F7" w:rsidRPr="005E1925">
        <w:rPr>
          <w:rFonts w:asciiTheme="minorEastAsia" w:eastAsiaTheme="minorEastAsia" w:hAnsiTheme="minorEastAsia" w:cs="宋体" w:hint="eastAsia"/>
          <w:color w:val="000000"/>
          <w:kern w:val="0"/>
          <w:sz w:val="28"/>
          <w:szCs w:val="32"/>
        </w:rPr>
        <w:t>南华深科信息技术</w:t>
      </w:r>
      <w:proofErr w:type="gramEnd"/>
      <w:r w:rsidR="00F322F7" w:rsidRPr="005E1925">
        <w:rPr>
          <w:rFonts w:asciiTheme="minorEastAsia" w:eastAsiaTheme="minorEastAsia" w:hAnsiTheme="minorEastAsia" w:cs="宋体" w:hint="eastAsia"/>
          <w:color w:val="000000"/>
          <w:kern w:val="0"/>
          <w:sz w:val="28"/>
          <w:szCs w:val="32"/>
        </w:rPr>
        <w:t>有限公司（以下简称</w:t>
      </w:r>
      <w:proofErr w:type="gramStart"/>
      <w:r w:rsidR="00F322F7" w:rsidRPr="005E1925">
        <w:rPr>
          <w:rFonts w:asciiTheme="minorEastAsia" w:eastAsiaTheme="minorEastAsia" w:hAnsiTheme="minorEastAsia" w:cs="宋体" w:hint="eastAsia"/>
          <w:color w:val="000000"/>
          <w:kern w:val="0"/>
          <w:sz w:val="28"/>
          <w:szCs w:val="32"/>
        </w:rPr>
        <w:t>南华深科公司</w:t>
      </w:r>
      <w:proofErr w:type="gramEnd"/>
      <w:r w:rsidR="00F322F7" w:rsidRPr="005E1925">
        <w:rPr>
          <w:rFonts w:asciiTheme="minorEastAsia" w:eastAsiaTheme="minorEastAsia" w:hAnsiTheme="minorEastAsia" w:cs="宋体" w:hint="eastAsia"/>
          <w:color w:val="000000"/>
          <w:kern w:val="0"/>
          <w:sz w:val="28"/>
          <w:szCs w:val="32"/>
        </w:rPr>
        <w:t>）</w:t>
      </w:r>
      <w:r w:rsidRPr="005E1925">
        <w:rPr>
          <w:rFonts w:asciiTheme="minorEastAsia" w:eastAsiaTheme="minorEastAsia" w:hAnsiTheme="minorEastAsia" w:cs="宋体" w:hint="eastAsia"/>
          <w:color w:val="000000"/>
          <w:kern w:val="0"/>
          <w:sz w:val="28"/>
          <w:szCs w:val="32"/>
        </w:rPr>
        <w:t>、</w:t>
      </w:r>
      <w:r w:rsidR="00F322F7" w:rsidRPr="005E1925">
        <w:rPr>
          <w:rFonts w:asciiTheme="minorEastAsia" w:eastAsiaTheme="minorEastAsia" w:hAnsiTheme="minorEastAsia" w:cs="宋体" w:hint="eastAsia"/>
          <w:color w:val="000000"/>
          <w:kern w:val="0"/>
          <w:sz w:val="28"/>
          <w:szCs w:val="32"/>
        </w:rPr>
        <w:t>湖南天</w:t>
      </w:r>
      <w:proofErr w:type="gramStart"/>
      <w:r w:rsidR="00F322F7" w:rsidRPr="005E1925">
        <w:rPr>
          <w:rFonts w:asciiTheme="minorEastAsia" w:eastAsiaTheme="minorEastAsia" w:hAnsiTheme="minorEastAsia" w:cs="宋体" w:hint="eastAsia"/>
          <w:color w:val="000000"/>
          <w:kern w:val="0"/>
          <w:sz w:val="28"/>
          <w:szCs w:val="32"/>
        </w:rPr>
        <w:t>润数字</w:t>
      </w:r>
      <w:proofErr w:type="gramEnd"/>
      <w:r w:rsidR="00F322F7" w:rsidRPr="005E1925">
        <w:rPr>
          <w:rFonts w:asciiTheme="minorEastAsia" w:eastAsiaTheme="minorEastAsia" w:hAnsiTheme="minorEastAsia" w:cs="宋体" w:hint="eastAsia"/>
          <w:color w:val="000000"/>
          <w:kern w:val="0"/>
          <w:sz w:val="28"/>
          <w:szCs w:val="32"/>
        </w:rPr>
        <w:t>娱乐文化传媒股份有限公司（以下简称天润公司）</w:t>
      </w:r>
      <w:r w:rsidRPr="005E1925">
        <w:rPr>
          <w:rFonts w:asciiTheme="minorEastAsia" w:eastAsiaTheme="minorEastAsia" w:hAnsiTheme="minorEastAsia" w:cs="宋体" w:hint="eastAsia"/>
          <w:color w:val="000000"/>
          <w:kern w:val="0"/>
          <w:sz w:val="28"/>
          <w:szCs w:val="32"/>
        </w:rPr>
        <w:t>、</w:t>
      </w:r>
      <w:r w:rsidR="00806E86" w:rsidRPr="005E1925">
        <w:rPr>
          <w:rFonts w:asciiTheme="minorEastAsia" w:eastAsiaTheme="minorEastAsia" w:hAnsiTheme="minorEastAsia" w:cs="宋体" w:hint="eastAsia"/>
          <w:color w:val="000000"/>
          <w:kern w:val="0"/>
          <w:sz w:val="28"/>
          <w:szCs w:val="32"/>
        </w:rPr>
        <w:t>赖某锋</w:t>
      </w:r>
      <w:r w:rsidRPr="005E1925">
        <w:rPr>
          <w:rFonts w:asciiTheme="minorEastAsia" w:eastAsiaTheme="minorEastAsia" w:hAnsiTheme="minorEastAsia" w:cs="宋体" w:hint="eastAsia"/>
          <w:color w:val="000000"/>
          <w:kern w:val="0"/>
          <w:sz w:val="28"/>
          <w:szCs w:val="32"/>
        </w:rPr>
        <w:t>签订《商业保理合同》，约定</w:t>
      </w:r>
      <w:proofErr w:type="gramStart"/>
      <w:r w:rsidR="00F322F7" w:rsidRPr="005E1925">
        <w:rPr>
          <w:rFonts w:asciiTheme="minorEastAsia" w:eastAsiaTheme="minorEastAsia" w:hAnsiTheme="minorEastAsia" w:cs="宋体" w:hint="eastAsia"/>
          <w:color w:val="000000"/>
          <w:kern w:val="0"/>
          <w:sz w:val="28"/>
          <w:szCs w:val="32"/>
        </w:rPr>
        <w:t>南华深科公司</w:t>
      </w:r>
      <w:proofErr w:type="gramEnd"/>
      <w:r w:rsidRPr="005E1925">
        <w:rPr>
          <w:rFonts w:asciiTheme="minorEastAsia" w:eastAsiaTheme="minorEastAsia" w:hAnsiTheme="minorEastAsia" w:cs="宋体" w:hint="eastAsia"/>
          <w:color w:val="000000"/>
          <w:kern w:val="0"/>
          <w:sz w:val="28"/>
          <w:szCs w:val="32"/>
        </w:rPr>
        <w:t>以应收账款债权转让方式</w:t>
      </w:r>
      <w:proofErr w:type="gramStart"/>
      <w:r w:rsidRPr="005E1925">
        <w:rPr>
          <w:rFonts w:asciiTheme="minorEastAsia" w:eastAsiaTheme="minorEastAsia" w:hAnsiTheme="minorEastAsia" w:cs="宋体" w:hint="eastAsia"/>
          <w:color w:val="000000"/>
          <w:kern w:val="0"/>
          <w:sz w:val="28"/>
          <w:szCs w:val="32"/>
        </w:rPr>
        <w:t>向</w:t>
      </w:r>
      <w:r w:rsidR="00F322F7" w:rsidRPr="005E1925">
        <w:rPr>
          <w:rFonts w:asciiTheme="minorEastAsia" w:eastAsiaTheme="minorEastAsia" w:hAnsiTheme="minorEastAsia" w:cs="宋体" w:hint="eastAsia"/>
          <w:color w:val="000000"/>
          <w:kern w:val="0"/>
          <w:sz w:val="28"/>
          <w:szCs w:val="32"/>
        </w:rPr>
        <w:t>恒旺公司</w:t>
      </w:r>
      <w:proofErr w:type="gramEnd"/>
      <w:r w:rsidRPr="005E1925">
        <w:rPr>
          <w:rFonts w:asciiTheme="minorEastAsia" w:eastAsiaTheme="minorEastAsia" w:hAnsiTheme="minorEastAsia" w:cs="宋体" w:hint="eastAsia"/>
          <w:color w:val="000000"/>
          <w:kern w:val="0"/>
          <w:sz w:val="28"/>
          <w:szCs w:val="32"/>
        </w:rPr>
        <w:t>申请融资，</w:t>
      </w:r>
      <w:proofErr w:type="gramStart"/>
      <w:r w:rsidR="00F322F7" w:rsidRPr="005E1925">
        <w:rPr>
          <w:rFonts w:asciiTheme="minorEastAsia" w:eastAsiaTheme="minorEastAsia" w:hAnsiTheme="minorEastAsia" w:cs="宋体" w:hint="eastAsia"/>
          <w:color w:val="000000"/>
          <w:kern w:val="0"/>
          <w:sz w:val="28"/>
          <w:szCs w:val="32"/>
        </w:rPr>
        <w:t>恒旺公司</w:t>
      </w:r>
      <w:proofErr w:type="gramEnd"/>
      <w:r w:rsidRPr="005E1925">
        <w:rPr>
          <w:rFonts w:asciiTheme="minorEastAsia" w:eastAsiaTheme="minorEastAsia" w:hAnsiTheme="minorEastAsia" w:cs="宋体" w:hint="eastAsia"/>
          <w:color w:val="000000"/>
          <w:kern w:val="0"/>
          <w:sz w:val="28"/>
          <w:szCs w:val="32"/>
        </w:rPr>
        <w:t>为</w:t>
      </w:r>
      <w:proofErr w:type="gramStart"/>
      <w:r w:rsidR="00F322F7" w:rsidRPr="005E1925">
        <w:rPr>
          <w:rFonts w:asciiTheme="minorEastAsia" w:eastAsiaTheme="minorEastAsia" w:hAnsiTheme="minorEastAsia" w:cs="宋体" w:hint="eastAsia"/>
          <w:color w:val="000000"/>
          <w:kern w:val="0"/>
          <w:sz w:val="28"/>
          <w:szCs w:val="32"/>
        </w:rPr>
        <w:t>南华深科公司</w:t>
      </w:r>
      <w:proofErr w:type="gramEnd"/>
      <w:r w:rsidRPr="005E1925">
        <w:rPr>
          <w:rFonts w:asciiTheme="minorEastAsia" w:eastAsiaTheme="minorEastAsia" w:hAnsiTheme="minorEastAsia" w:cs="宋体" w:hint="eastAsia"/>
          <w:color w:val="000000"/>
          <w:kern w:val="0"/>
          <w:sz w:val="28"/>
          <w:szCs w:val="32"/>
        </w:rPr>
        <w:t>提供“有追索权循环额度隐蔽国内保理服务”，</w:t>
      </w:r>
      <w:r w:rsidR="00F322F7" w:rsidRPr="005E1925">
        <w:rPr>
          <w:rFonts w:asciiTheme="minorEastAsia" w:eastAsiaTheme="minorEastAsia" w:hAnsiTheme="minorEastAsia" w:cs="宋体" w:hint="eastAsia"/>
          <w:color w:val="000000"/>
          <w:kern w:val="0"/>
          <w:sz w:val="28"/>
          <w:szCs w:val="32"/>
        </w:rPr>
        <w:t>天润公司</w:t>
      </w:r>
      <w:r w:rsidRPr="005E1925">
        <w:rPr>
          <w:rFonts w:asciiTheme="minorEastAsia" w:eastAsiaTheme="minorEastAsia" w:hAnsiTheme="minorEastAsia" w:cs="宋体" w:hint="eastAsia"/>
          <w:color w:val="000000"/>
          <w:kern w:val="0"/>
          <w:sz w:val="28"/>
          <w:szCs w:val="32"/>
        </w:rPr>
        <w:t>与</w:t>
      </w:r>
      <w:r w:rsidR="00806E86" w:rsidRPr="005E1925">
        <w:rPr>
          <w:rFonts w:asciiTheme="minorEastAsia" w:eastAsiaTheme="minorEastAsia" w:hAnsiTheme="minorEastAsia" w:cs="宋体" w:hint="eastAsia"/>
          <w:color w:val="000000"/>
          <w:kern w:val="0"/>
          <w:sz w:val="28"/>
          <w:szCs w:val="32"/>
        </w:rPr>
        <w:t>赖某锋</w:t>
      </w:r>
      <w:r w:rsidRPr="005E1925">
        <w:rPr>
          <w:rFonts w:asciiTheme="minorEastAsia" w:eastAsiaTheme="minorEastAsia" w:hAnsiTheme="minorEastAsia" w:cs="宋体" w:hint="eastAsia"/>
          <w:color w:val="000000"/>
          <w:kern w:val="0"/>
          <w:sz w:val="28"/>
          <w:szCs w:val="32"/>
        </w:rPr>
        <w:t>同意为</w:t>
      </w:r>
      <w:proofErr w:type="gramStart"/>
      <w:r w:rsidR="00F322F7" w:rsidRPr="005E1925">
        <w:rPr>
          <w:rFonts w:asciiTheme="minorEastAsia" w:eastAsiaTheme="minorEastAsia" w:hAnsiTheme="minorEastAsia" w:cs="宋体" w:hint="eastAsia"/>
          <w:color w:val="000000"/>
          <w:kern w:val="0"/>
          <w:sz w:val="28"/>
          <w:szCs w:val="32"/>
        </w:rPr>
        <w:t>南华深科公司</w:t>
      </w:r>
      <w:proofErr w:type="gramEnd"/>
      <w:r w:rsidR="008A58E5" w:rsidRPr="005E1925">
        <w:rPr>
          <w:rFonts w:asciiTheme="minorEastAsia" w:eastAsiaTheme="minorEastAsia" w:hAnsiTheme="minorEastAsia" w:cs="宋体" w:hint="eastAsia"/>
          <w:color w:val="000000"/>
          <w:kern w:val="0"/>
          <w:sz w:val="28"/>
          <w:szCs w:val="32"/>
        </w:rPr>
        <w:t>的还款义务</w:t>
      </w:r>
      <w:r w:rsidRPr="005E1925">
        <w:rPr>
          <w:rFonts w:asciiTheme="minorEastAsia" w:eastAsiaTheme="minorEastAsia" w:hAnsiTheme="minorEastAsia" w:cs="宋体" w:hint="eastAsia"/>
          <w:color w:val="000000"/>
          <w:kern w:val="0"/>
          <w:sz w:val="28"/>
          <w:szCs w:val="32"/>
        </w:rPr>
        <w:t>提供无限连带保证担保。</w:t>
      </w:r>
      <w:r w:rsidR="007632BD" w:rsidRPr="005E1925">
        <w:rPr>
          <w:rFonts w:asciiTheme="minorEastAsia" w:eastAsiaTheme="minorEastAsia" w:hAnsiTheme="minorEastAsia" w:cs="宋体" w:hint="eastAsia"/>
          <w:color w:val="000000"/>
          <w:kern w:val="0"/>
          <w:sz w:val="28"/>
          <w:szCs w:val="32"/>
        </w:rPr>
        <w:t>嗣后，二者分别</w:t>
      </w:r>
      <w:proofErr w:type="gramStart"/>
      <w:r w:rsidR="007632BD" w:rsidRPr="005E1925">
        <w:rPr>
          <w:rFonts w:asciiTheme="minorEastAsia" w:eastAsiaTheme="minorEastAsia" w:hAnsiTheme="minorEastAsia" w:cs="宋体" w:hint="eastAsia"/>
          <w:color w:val="000000"/>
          <w:kern w:val="0"/>
          <w:sz w:val="28"/>
          <w:szCs w:val="32"/>
        </w:rPr>
        <w:t>向</w:t>
      </w:r>
      <w:r w:rsidR="00F322F7" w:rsidRPr="005E1925">
        <w:rPr>
          <w:rFonts w:asciiTheme="minorEastAsia" w:eastAsiaTheme="minorEastAsia" w:hAnsiTheme="minorEastAsia" w:cs="宋体" w:hint="eastAsia"/>
          <w:color w:val="000000"/>
          <w:kern w:val="0"/>
          <w:sz w:val="28"/>
          <w:szCs w:val="32"/>
        </w:rPr>
        <w:t>恒旺公司</w:t>
      </w:r>
      <w:proofErr w:type="gramEnd"/>
      <w:r w:rsidR="008A58E5" w:rsidRPr="005E1925">
        <w:rPr>
          <w:rFonts w:asciiTheme="minorEastAsia" w:eastAsiaTheme="minorEastAsia" w:hAnsiTheme="minorEastAsia" w:cs="宋体" w:hint="eastAsia"/>
          <w:color w:val="000000"/>
          <w:kern w:val="0"/>
          <w:sz w:val="28"/>
          <w:szCs w:val="32"/>
        </w:rPr>
        <w:t>出具《担保函》。</w:t>
      </w:r>
      <w:r w:rsidRPr="005E1925">
        <w:rPr>
          <w:rFonts w:asciiTheme="minorEastAsia" w:eastAsiaTheme="minorEastAsia" w:hAnsiTheme="minorEastAsia" w:cs="宋体" w:hint="eastAsia"/>
          <w:color w:val="000000"/>
          <w:kern w:val="0"/>
          <w:sz w:val="28"/>
          <w:szCs w:val="32"/>
        </w:rPr>
        <w:t>上述合同签订后，</w:t>
      </w:r>
      <w:proofErr w:type="gramStart"/>
      <w:r w:rsidR="00F322F7" w:rsidRPr="005E1925">
        <w:rPr>
          <w:rFonts w:asciiTheme="minorEastAsia" w:eastAsiaTheme="minorEastAsia" w:hAnsiTheme="minorEastAsia" w:cs="宋体" w:hint="eastAsia"/>
          <w:color w:val="000000"/>
          <w:kern w:val="0"/>
          <w:sz w:val="28"/>
          <w:szCs w:val="32"/>
        </w:rPr>
        <w:t>恒旺公司</w:t>
      </w:r>
      <w:proofErr w:type="gramEnd"/>
      <w:r w:rsidRPr="005E1925">
        <w:rPr>
          <w:rFonts w:asciiTheme="minorEastAsia" w:eastAsiaTheme="minorEastAsia" w:hAnsiTheme="minorEastAsia" w:cs="宋体" w:hint="eastAsia"/>
          <w:color w:val="000000"/>
          <w:kern w:val="0"/>
          <w:sz w:val="28"/>
          <w:szCs w:val="32"/>
        </w:rPr>
        <w:t>向</w:t>
      </w:r>
      <w:proofErr w:type="gramStart"/>
      <w:r w:rsidR="00F322F7" w:rsidRPr="005E1925">
        <w:rPr>
          <w:rFonts w:asciiTheme="minorEastAsia" w:eastAsiaTheme="minorEastAsia" w:hAnsiTheme="minorEastAsia" w:cs="宋体" w:hint="eastAsia"/>
          <w:color w:val="000000"/>
          <w:kern w:val="0"/>
          <w:sz w:val="28"/>
          <w:szCs w:val="32"/>
        </w:rPr>
        <w:t>南华深科公司</w:t>
      </w:r>
      <w:r w:rsidRPr="005E1925">
        <w:rPr>
          <w:rFonts w:asciiTheme="minorEastAsia" w:eastAsiaTheme="minorEastAsia" w:hAnsiTheme="minorEastAsia" w:cs="宋体" w:hint="eastAsia"/>
          <w:color w:val="000000"/>
          <w:kern w:val="0"/>
          <w:sz w:val="28"/>
          <w:szCs w:val="32"/>
        </w:rPr>
        <w:t>发放保理融资</w:t>
      </w:r>
      <w:proofErr w:type="gramEnd"/>
      <w:r w:rsidRPr="005E1925">
        <w:rPr>
          <w:rFonts w:asciiTheme="minorEastAsia" w:eastAsiaTheme="minorEastAsia" w:hAnsiTheme="minorEastAsia" w:cs="宋体" w:hint="eastAsia"/>
          <w:color w:val="000000"/>
          <w:kern w:val="0"/>
          <w:sz w:val="28"/>
          <w:szCs w:val="32"/>
        </w:rPr>
        <w:t>款5,500万元。后因</w:t>
      </w:r>
      <w:proofErr w:type="gramStart"/>
      <w:r w:rsidR="00F322F7" w:rsidRPr="005E1925">
        <w:rPr>
          <w:rFonts w:asciiTheme="minorEastAsia" w:eastAsiaTheme="minorEastAsia" w:hAnsiTheme="minorEastAsia" w:cs="宋体" w:hint="eastAsia"/>
          <w:color w:val="000000"/>
          <w:kern w:val="0"/>
          <w:sz w:val="28"/>
          <w:szCs w:val="32"/>
        </w:rPr>
        <w:t>南华深科公司</w:t>
      </w:r>
      <w:proofErr w:type="gramEnd"/>
      <w:r w:rsidRPr="005E1925">
        <w:rPr>
          <w:rFonts w:asciiTheme="minorEastAsia" w:eastAsiaTheme="minorEastAsia" w:hAnsiTheme="minorEastAsia" w:cs="宋体" w:hint="eastAsia"/>
          <w:color w:val="000000"/>
          <w:kern w:val="0"/>
          <w:sz w:val="28"/>
          <w:szCs w:val="32"/>
        </w:rPr>
        <w:t>未</w:t>
      </w:r>
      <w:proofErr w:type="gramStart"/>
      <w:r w:rsidRPr="005E1925">
        <w:rPr>
          <w:rFonts w:asciiTheme="minorEastAsia" w:eastAsiaTheme="minorEastAsia" w:hAnsiTheme="minorEastAsia" w:cs="宋体" w:hint="eastAsia"/>
          <w:color w:val="000000"/>
          <w:kern w:val="0"/>
          <w:sz w:val="28"/>
          <w:szCs w:val="32"/>
        </w:rPr>
        <w:t>归还保理融资</w:t>
      </w:r>
      <w:proofErr w:type="gramEnd"/>
      <w:r w:rsidRPr="005E1925">
        <w:rPr>
          <w:rFonts w:asciiTheme="minorEastAsia" w:eastAsiaTheme="minorEastAsia" w:hAnsiTheme="minorEastAsia" w:cs="宋体" w:hint="eastAsia"/>
          <w:color w:val="000000"/>
          <w:kern w:val="0"/>
          <w:sz w:val="28"/>
          <w:szCs w:val="32"/>
        </w:rPr>
        <w:t>款，</w:t>
      </w:r>
      <w:proofErr w:type="gramStart"/>
      <w:r w:rsidR="00F322F7" w:rsidRPr="005E1925">
        <w:rPr>
          <w:rFonts w:asciiTheme="minorEastAsia" w:eastAsiaTheme="minorEastAsia" w:hAnsiTheme="minorEastAsia" w:cs="宋体" w:hint="eastAsia"/>
          <w:color w:val="000000"/>
          <w:kern w:val="0"/>
          <w:sz w:val="28"/>
          <w:szCs w:val="32"/>
        </w:rPr>
        <w:t>恒旺公司</w:t>
      </w:r>
      <w:proofErr w:type="gramEnd"/>
      <w:r w:rsidRPr="005E1925">
        <w:rPr>
          <w:rFonts w:asciiTheme="minorEastAsia" w:eastAsiaTheme="minorEastAsia" w:hAnsiTheme="minorEastAsia" w:cs="宋体" w:hint="eastAsia"/>
          <w:color w:val="000000"/>
          <w:kern w:val="0"/>
          <w:sz w:val="28"/>
          <w:szCs w:val="32"/>
        </w:rPr>
        <w:t>起诉请求判令</w:t>
      </w:r>
      <w:proofErr w:type="gramStart"/>
      <w:r w:rsidR="00F322F7" w:rsidRPr="005E1925">
        <w:rPr>
          <w:rFonts w:asciiTheme="minorEastAsia" w:eastAsiaTheme="minorEastAsia" w:hAnsiTheme="minorEastAsia" w:cs="宋体" w:hint="eastAsia"/>
          <w:color w:val="000000"/>
          <w:kern w:val="0"/>
          <w:sz w:val="28"/>
          <w:szCs w:val="32"/>
        </w:rPr>
        <w:t>南华深科公司</w:t>
      </w:r>
      <w:proofErr w:type="gramEnd"/>
      <w:r w:rsidRPr="005E1925">
        <w:rPr>
          <w:rFonts w:asciiTheme="minorEastAsia" w:eastAsiaTheme="minorEastAsia" w:hAnsiTheme="minorEastAsia" w:cs="宋体" w:hint="eastAsia"/>
          <w:color w:val="000000"/>
          <w:kern w:val="0"/>
          <w:sz w:val="28"/>
          <w:szCs w:val="32"/>
        </w:rPr>
        <w:t>归还本息5,655万元并支付罚息及律师费</w:t>
      </w:r>
      <w:proofErr w:type="gramStart"/>
      <w:r w:rsidRPr="005E1925">
        <w:rPr>
          <w:rFonts w:asciiTheme="minorEastAsia" w:eastAsiaTheme="minorEastAsia" w:hAnsiTheme="minorEastAsia" w:cs="宋体" w:hint="eastAsia"/>
          <w:color w:val="000000"/>
          <w:kern w:val="0"/>
          <w:sz w:val="28"/>
          <w:szCs w:val="32"/>
        </w:rPr>
        <w:t>用损失</w:t>
      </w:r>
      <w:proofErr w:type="gramEnd"/>
      <w:r w:rsidRPr="005E1925">
        <w:rPr>
          <w:rFonts w:asciiTheme="minorEastAsia" w:eastAsiaTheme="minorEastAsia" w:hAnsiTheme="minorEastAsia" w:cs="宋体" w:hint="eastAsia"/>
          <w:color w:val="000000"/>
          <w:kern w:val="0"/>
          <w:sz w:val="28"/>
          <w:szCs w:val="32"/>
        </w:rPr>
        <w:t>等，请求</w:t>
      </w:r>
      <w:proofErr w:type="gramStart"/>
      <w:r w:rsidRPr="005E1925">
        <w:rPr>
          <w:rFonts w:asciiTheme="minorEastAsia" w:eastAsiaTheme="minorEastAsia" w:hAnsiTheme="minorEastAsia" w:cs="宋体" w:hint="eastAsia"/>
          <w:color w:val="000000"/>
          <w:kern w:val="0"/>
          <w:sz w:val="28"/>
          <w:szCs w:val="32"/>
        </w:rPr>
        <w:t>判令</w:t>
      </w:r>
      <w:r w:rsidR="00F322F7" w:rsidRPr="005E1925">
        <w:rPr>
          <w:rFonts w:asciiTheme="minorEastAsia" w:eastAsiaTheme="minorEastAsia" w:hAnsiTheme="minorEastAsia" w:cs="宋体" w:hint="eastAsia"/>
          <w:color w:val="000000"/>
          <w:kern w:val="0"/>
          <w:sz w:val="28"/>
          <w:szCs w:val="32"/>
        </w:rPr>
        <w:t>天</w:t>
      </w:r>
      <w:proofErr w:type="gramEnd"/>
      <w:r w:rsidR="00F322F7" w:rsidRPr="005E1925">
        <w:rPr>
          <w:rFonts w:asciiTheme="minorEastAsia" w:eastAsiaTheme="minorEastAsia" w:hAnsiTheme="minorEastAsia" w:cs="宋体" w:hint="eastAsia"/>
          <w:color w:val="000000"/>
          <w:kern w:val="0"/>
          <w:sz w:val="28"/>
          <w:szCs w:val="32"/>
        </w:rPr>
        <w:t>润公司</w:t>
      </w:r>
      <w:r w:rsidRPr="005E1925">
        <w:rPr>
          <w:rFonts w:asciiTheme="minorEastAsia" w:eastAsiaTheme="minorEastAsia" w:hAnsiTheme="minorEastAsia" w:cs="宋体" w:hint="eastAsia"/>
          <w:color w:val="000000"/>
          <w:kern w:val="0"/>
          <w:sz w:val="28"/>
          <w:szCs w:val="32"/>
        </w:rPr>
        <w:t>和</w:t>
      </w:r>
      <w:r w:rsidR="00806E86" w:rsidRPr="005E1925">
        <w:rPr>
          <w:rFonts w:asciiTheme="minorEastAsia" w:eastAsiaTheme="minorEastAsia" w:hAnsiTheme="minorEastAsia" w:cs="宋体" w:hint="eastAsia"/>
          <w:color w:val="000000"/>
          <w:kern w:val="0"/>
          <w:sz w:val="28"/>
          <w:szCs w:val="32"/>
        </w:rPr>
        <w:t>赖某锋</w:t>
      </w:r>
      <w:r w:rsidRPr="005E1925">
        <w:rPr>
          <w:rFonts w:asciiTheme="minorEastAsia" w:eastAsiaTheme="minorEastAsia" w:hAnsiTheme="minorEastAsia" w:cs="宋体" w:hint="eastAsia"/>
          <w:color w:val="000000"/>
          <w:kern w:val="0"/>
          <w:sz w:val="28"/>
          <w:szCs w:val="32"/>
        </w:rPr>
        <w:t>对前述债务承担连带清偿责任。</w:t>
      </w:r>
    </w:p>
    <w:p w:rsidR="0081469B" w:rsidRPr="005E1925" w:rsidRDefault="008A58E5"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对此，</w:t>
      </w:r>
      <w:r w:rsidR="00F322F7" w:rsidRPr="005E1925">
        <w:rPr>
          <w:rFonts w:asciiTheme="minorEastAsia" w:eastAsiaTheme="minorEastAsia" w:hAnsiTheme="minorEastAsia" w:cs="宋体" w:hint="eastAsia"/>
          <w:color w:val="000000"/>
          <w:kern w:val="0"/>
          <w:sz w:val="28"/>
          <w:szCs w:val="32"/>
        </w:rPr>
        <w:t>天润公司</w:t>
      </w:r>
      <w:r w:rsidR="0081469B" w:rsidRPr="005E1925">
        <w:rPr>
          <w:rFonts w:asciiTheme="minorEastAsia" w:eastAsiaTheme="minorEastAsia" w:hAnsiTheme="minorEastAsia" w:cs="宋体" w:hint="eastAsia"/>
          <w:color w:val="000000"/>
          <w:kern w:val="0"/>
          <w:sz w:val="28"/>
          <w:szCs w:val="32"/>
        </w:rPr>
        <w:t>辩称，</w:t>
      </w:r>
      <w:r w:rsidRPr="005E1925">
        <w:rPr>
          <w:rFonts w:asciiTheme="minorEastAsia" w:eastAsiaTheme="minorEastAsia" w:hAnsiTheme="minorEastAsia" w:cs="宋体" w:hint="eastAsia"/>
          <w:color w:val="000000"/>
          <w:kern w:val="0"/>
          <w:sz w:val="28"/>
          <w:szCs w:val="32"/>
        </w:rPr>
        <w:t>其</w:t>
      </w:r>
      <w:r w:rsidR="0081469B" w:rsidRPr="005E1925">
        <w:rPr>
          <w:rFonts w:asciiTheme="minorEastAsia" w:eastAsiaTheme="minorEastAsia" w:hAnsiTheme="minorEastAsia" w:cs="宋体" w:hint="eastAsia"/>
          <w:color w:val="000000"/>
          <w:kern w:val="0"/>
          <w:sz w:val="28"/>
          <w:szCs w:val="32"/>
        </w:rPr>
        <w:t>为一家A股上市公司，《公司法》第十六条规定，公司为公司股东或者实际控制人提供担保的，必须经股东会或股东大会决议。</w:t>
      </w:r>
      <w:r w:rsidR="00806E86" w:rsidRPr="005E1925">
        <w:rPr>
          <w:rFonts w:asciiTheme="minorEastAsia" w:eastAsiaTheme="minorEastAsia" w:hAnsiTheme="minorEastAsia" w:cs="宋体" w:hint="eastAsia"/>
          <w:color w:val="000000"/>
          <w:kern w:val="0"/>
          <w:sz w:val="28"/>
          <w:szCs w:val="32"/>
        </w:rPr>
        <w:t>赖某锋</w:t>
      </w:r>
      <w:r w:rsidR="0081469B" w:rsidRPr="005E1925">
        <w:rPr>
          <w:rFonts w:asciiTheme="minorEastAsia" w:eastAsiaTheme="minorEastAsia" w:hAnsiTheme="minorEastAsia" w:cs="宋体" w:hint="eastAsia"/>
          <w:color w:val="000000"/>
          <w:kern w:val="0"/>
          <w:sz w:val="28"/>
          <w:szCs w:val="32"/>
        </w:rPr>
        <w:t>同为</w:t>
      </w:r>
      <w:r w:rsidR="00F322F7" w:rsidRPr="005E1925">
        <w:rPr>
          <w:rFonts w:asciiTheme="minorEastAsia" w:eastAsiaTheme="minorEastAsia" w:hAnsiTheme="minorEastAsia" w:cs="宋体" w:hint="eastAsia"/>
          <w:color w:val="000000"/>
          <w:kern w:val="0"/>
          <w:sz w:val="28"/>
          <w:szCs w:val="32"/>
        </w:rPr>
        <w:t>天润公司</w:t>
      </w:r>
      <w:r w:rsidR="0081469B" w:rsidRPr="005E1925">
        <w:rPr>
          <w:rFonts w:asciiTheme="minorEastAsia" w:eastAsiaTheme="minorEastAsia" w:hAnsiTheme="minorEastAsia" w:cs="宋体" w:hint="eastAsia"/>
          <w:color w:val="000000"/>
          <w:kern w:val="0"/>
          <w:sz w:val="28"/>
          <w:szCs w:val="32"/>
        </w:rPr>
        <w:t>及</w:t>
      </w:r>
      <w:proofErr w:type="gramStart"/>
      <w:r w:rsidR="00F322F7" w:rsidRPr="005E1925">
        <w:rPr>
          <w:rFonts w:asciiTheme="minorEastAsia" w:eastAsiaTheme="minorEastAsia" w:hAnsiTheme="minorEastAsia" w:cs="宋体" w:hint="eastAsia"/>
          <w:color w:val="000000"/>
          <w:kern w:val="0"/>
          <w:sz w:val="28"/>
          <w:szCs w:val="32"/>
        </w:rPr>
        <w:t>南华深科公司</w:t>
      </w:r>
      <w:proofErr w:type="gramEnd"/>
      <w:r w:rsidR="0081469B" w:rsidRPr="005E1925">
        <w:rPr>
          <w:rFonts w:asciiTheme="minorEastAsia" w:eastAsiaTheme="minorEastAsia" w:hAnsiTheme="minorEastAsia" w:cs="宋体" w:hint="eastAsia"/>
          <w:color w:val="000000"/>
          <w:kern w:val="0"/>
          <w:sz w:val="28"/>
          <w:szCs w:val="32"/>
        </w:rPr>
        <w:t>的实际控制人，</w:t>
      </w:r>
      <w:r w:rsidR="00F322F7" w:rsidRPr="005E1925">
        <w:rPr>
          <w:rFonts w:asciiTheme="minorEastAsia" w:eastAsiaTheme="minorEastAsia" w:hAnsiTheme="minorEastAsia" w:cs="宋体" w:hint="eastAsia"/>
          <w:color w:val="000000"/>
          <w:kern w:val="0"/>
          <w:sz w:val="28"/>
          <w:szCs w:val="32"/>
        </w:rPr>
        <w:t>天润公司</w:t>
      </w:r>
      <w:r w:rsidR="0081469B" w:rsidRPr="005E1925">
        <w:rPr>
          <w:rFonts w:asciiTheme="minorEastAsia" w:eastAsiaTheme="minorEastAsia" w:hAnsiTheme="minorEastAsia" w:cs="宋体" w:hint="eastAsia"/>
          <w:color w:val="000000"/>
          <w:kern w:val="0"/>
          <w:sz w:val="28"/>
          <w:szCs w:val="32"/>
        </w:rPr>
        <w:t>为实际控制人赖</w:t>
      </w:r>
      <w:r w:rsidRPr="005E1925">
        <w:rPr>
          <w:rFonts w:asciiTheme="minorEastAsia" w:eastAsiaTheme="minorEastAsia" w:hAnsiTheme="minorEastAsia" w:cs="宋体" w:hint="eastAsia"/>
          <w:color w:val="000000"/>
          <w:kern w:val="0"/>
          <w:sz w:val="28"/>
          <w:szCs w:val="32"/>
        </w:rPr>
        <w:t>某锋</w:t>
      </w:r>
      <w:r w:rsidR="0081469B" w:rsidRPr="005E1925">
        <w:rPr>
          <w:rFonts w:asciiTheme="minorEastAsia" w:eastAsiaTheme="minorEastAsia" w:hAnsiTheme="minorEastAsia" w:cs="宋体" w:hint="eastAsia"/>
          <w:color w:val="000000"/>
          <w:kern w:val="0"/>
          <w:sz w:val="28"/>
          <w:szCs w:val="32"/>
        </w:rPr>
        <w:t>控制的另一家公司提供担保，系属关联担保，未经股东大会同意，该担保行为为法定代表人越权行为。</w:t>
      </w:r>
      <w:proofErr w:type="gramStart"/>
      <w:r w:rsidR="00F322F7" w:rsidRPr="005E1925">
        <w:rPr>
          <w:rFonts w:asciiTheme="minorEastAsia" w:eastAsiaTheme="minorEastAsia" w:hAnsiTheme="minorEastAsia" w:cs="宋体" w:hint="eastAsia"/>
          <w:color w:val="000000"/>
          <w:kern w:val="0"/>
          <w:sz w:val="28"/>
          <w:szCs w:val="32"/>
        </w:rPr>
        <w:t>恒旺公司</w:t>
      </w:r>
      <w:proofErr w:type="gramEnd"/>
      <w:r w:rsidR="0081469B" w:rsidRPr="005E1925">
        <w:rPr>
          <w:rFonts w:asciiTheme="minorEastAsia" w:eastAsiaTheme="minorEastAsia" w:hAnsiTheme="minorEastAsia" w:cs="宋体" w:hint="eastAsia"/>
          <w:color w:val="000000"/>
          <w:kern w:val="0"/>
          <w:sz w:val="28"/>
          <w:szCs w:val="32"/>
        </w:rPr>
        <w:t>作为专业的金融机构，明知上述事实却不审查股东会决议，也未注意到上市公司未就该担保事宜进行公告，</w:t>
      </w:r>
      <w:proofErr w:type="gramStart"/>
      <w:r w:rsidR="00F322F7" w:rsidRPr="005E1925">
        <w:rPr>
          <w:rFonts w:asciiTheme="minorEastAsia" w:eastAsiaTheme="minorEastAsia" w:hAnsiTheme="minorEastAsia" w:cs="宋体" w:hint="eastAsia"/>
          <w:color w:val="000000"/>
          <w:kern w:val="0"/>
          <w:sz w:val="28"/>
          <w:szCs w:val="32"/>
        </w:rPr>
        <w:t>恒旺公司</w:t>
      </w:r>
      <w:proofErr w:type="gramEnd"/>
      <w:r w:rsidR="0081469B" w:rsidRPr="005E1925">
        <w:rPr>
          <w:rFonts w:asciiTheme="minorEastAsia" w:eastAsiaTheme="minorEastAsia" w:hAnsiTheme="minorEastAsia" w:cs="宋体" w:hint="eastAsia"/>
          <w:color w:val="000000"/>
          <w:kern w:val="0"/>
          <w:sz w:val="28"/>
          <w:szCs w:val="32"/>
        </w:rPr>
        <w:t>并非善意一方，因此担保无效。</w:t>
      </w:r>
    </w:p>
    <w:p w:rsidR="000B5303" w:rsidRPr="005E1925" w:rsidRDefault="00F322F7"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roofErr w:type="gramStart"/>
      <w:r w:rsidRPr="005E1925">
        <w:rPr>
          <w:rFonts w:asciiTheme="minorEastAsia" w:eastAsiaTheme="minorEastAsia" w:hAnsiTheme="minorEastAsia" w:cs="宋体" w:hint="eastAsia"/>
          <w:color w:val="000000"/>
          <w:kern w:val="0"/>
          <w:sz w:val="28"/>
          <w:szCs w:val="32"/>
        </w:rPr>
        <w:t>恒旺公司</w:t>
      </w:r>
      <w:proofErr w:type="gramEnd"/>
      <w:r w:rsidR="0081469B" w:rsidRPr="005E1925">
        <w:rPr>
          <w:rFonts w:asciiTheme="minorEastAsia" w:eastAsiaTheme="minorEastAsia" w:hAnsiTheme="minorEastAsia" w:cs="宋体" w:hint="eastAsia"/>
          <w:color w:val="000000"/>
          <w:kern w:val="0"/>
          <w:sz w:val="28"/>
          <w:szCs w:val="32"/>
        </w:rPr>
        <w:t>称，</w:t>
      </w:r>
      <w:r w:rsidRPr="005E1925">
        <w:rPr>
          <w:rFonts w:asciiTheme="minorEastAsia" w:eastAsiaTheme="minorEastAsia" w:hAnsiTheme="minorEastAsia" w:cs="宋体" w:hint="eastAsia"/>
          <w:color w:val="000000"/>
          <w:kern w:val="0"/>
          <w:sz w:val="28"/>
          <w:szCs w:val="32"/>
        </w:rPr>
        <w:t>天润公司</w:t>
      </w:r>
      <w:r w:rsidR="0081469B" w:rsidRPr="005E1925">
        <w:rPr>
          <w:rFonts w:asciiTheme="minorEastAsia" w:eastAsiaTheme="minorEastAsia" w:hAnsiTheme="minorEastAsia" w:cs="宋体" w:hint="eastAsia"/>
          <w:color w:val="000000"/>
          <w:kern w:val="0"/>
          <w:sz w:val="28"/>
          <w:szCs w:val="32"/>
        </w:rPr>
        <w:t>《担保函》由其法定代表人出面签订，公章真实。签约时</w:t>
      </w:r>
      <w:r w:rsidRPr="005E1925">
        <w:rPr>
          <w:rFonts w:asciiTheme="minorEastAsia" w:eastAsiaTheme="minorEastAsia" w:hAnsiTheme="minorEastAsia" w:cs="宋体" w:hint="eastAsia"/>
          <w:color w:val="000000"/>
          <w:kern w:val="0"/>
          <w:sz w:val="28"/>
          <w:szCs w:val="32"/>
        </w:rPr>
        <w:t>天润公司</w:t>
      </w:r>
      <w:r w:rsidR="0081469B" w:rsidRPr="005E1925">
        <w:rPr>
          <w:rFonts w:asciiTheme="minorEastAsia" w:eastAsiaTheme="minorEastAsia" w:hAnsiTheme="minorEastAsia" w:cs="宋体" w:hint="eastAsia"/>
          <w:color w:val="000000"/>
          <w:kern w:val="0"/>
          <w:sz w:val="28"/>
          <w:szCs w:val="32"/>
        </w:rPr>
        <w:t>曾</w:t>
      </w:r>
      <w:proofErr w:type="gramStart"/>
      <w:r w:rsidR="0081469B" w:rsidRPr="005E1925">
        <w:rPr>
          <w:rFonts w:asciiTheme="minorEastAsia" w:eastAsiaTheme="minorEastAsia" w:hAnsiTheme="minorEastAsia" w:cs="宋体" w:hint="eastAsia"/>
          <w:color w:val="000000"/>
          <w:kern w:val="0"/>
          <w:sz w:val="28"/>
          <w:szCs w:val="32"/>
        </w:rPr>
        <w:t>向</w:t>
      </w:r>
      <w:r w:rsidRPr="005E1925">
        <w:rPr>
          <w:rFonts w:asciiTheme="minorEastAsia" w:eastAsiaTheme="minorEastAsia" w:hAnsiTheme="minorEastAsia" w:cs="宋体" w:hint="eastAsia"/>
          <w:color w:val="000000"/>
          <w:kern w:val="0"/>
          <w:sz w:val="28"/>
          <w:szCs w:val="32"/>
        </w:rPr>
        <w:t>恒旺公司</w:t>
      </w:r>
      <w:proofErr w:type="gramEnd"/>
      <w:r w:rsidR="0081469B" w:rsidRPr="005E1925">
        <w:rPr>
          <w:rFonts w:asciiTheme="minorEastAsia" w:eastAsiaTheme="minorEastAsia" w:hAnsiTheme="minorEastAsia" w:cs="宋体" w:hint="eastAsia"/>
          <w:color w:val="000000"/>
          <w:kern w:val="0"/>
          <w:sz w:val="28"/>
          <w:szCs w:val="32"/>
        </w:rPr>
        <w:t>提供《董事会决议》，该决议载明公司董事一致同意相关担保事宜，</w:t>
      </w:r>
      <w:r w:rsidRPr="005E1925">
        <w:rPr>
          <w:rFonts w:asciiTheme="minorEastAsia" w:eastAsiaTheme="minorEastAsia" w:hAnsiTheme="minorEastAsia" w:cs="宋体" w:hint="eastAsia"/>
          <w:color w:val="000000"/>
          <w:kern w:val="0"/>
          <w:sz w:val="28"/>
          <w:szCs w:val="32"/>
        </w:rPr>
        <w:t>天润公司</w:t>
      </w:r>
      <w:r w:rsidR="0081469B" w:rsidRPr="005E1925">
        <w:rPr>
          <w:rFonts w:asciiTheme="minorEastAsia" w:eastAsiaTheme="minorEastAsia" w:hAnsiTheme="minorEastAsia" w:cs="宋体" w:hint="eastAsia"/>
          <w:color w:val="000000"/>
          <w:kern w:val="0"/>
          <w:sz w:val="28"/>
          <w:szCs w:val="32"/>
        </w:rPr>
        <w:t>五名董事会成员签名确认。</w:t>
      </w:r>
      <w:r w:rsidRPr="005E1925">
        <w:rPr>
          <w:rFonts w:asciiTheme="minorEastAsia" w:eastAsiaTheme="minorEastAsia" w:hAnsiTheme="minorEastAsia" w:cs="宋体" w:hint="eastAsia"/>
          <w:color w:val="000000"/>
          <w:kern w:val="0"/>
          <w:sz w:val="28"/>
          <w:szCs w:val="32"/>
        </w:rPr>
        <w:t>天润公司</w:t>
      </w:r>
      <w:r w:rsidR="0081469B" w:rsidRPr="005E1925">
        <w:rPr>
          <w:rFonts w:asciiTheme="minorEastAsia" w:eastAsiaTheme="minorEastAsia" w:hAnsiTheme="minorEastAsia" w:cs="宋体" w:hint="eastAsia"/>
          <w:color w:val="000000"/>
          <w:kern w:val="0"/>
          <w:sz w:val="28"/>
          <w:szCs w:val="32"/>
        </w:rPr>
        <w:t>与</w:t>
      </w:r>
      <w:proofErr w:type="gramStart"/>
      <w:r w:rsidRPr="005E1925">
        <w:rPr>
          <w:rFonts w:asciiTheme="minorEastAsia" w:eastAsiaTheme="minorEastAsia" w:hAnsiTheme="minorEastAsia" w:cs="宋体" w:hint="eastAsia"/>
          <w:color w:val="000000"/>
          <w:kern w:val="0"/>
          <w:sz w:val="28"/>
          <w:szCs w:val="32"/>
        </w:rPr>
        <w:t>南华深科公司</w:t>
      </w:r>
      <w:proofErr w:type="gramEnd"/>
      <w:r w:rsidR="0081469B" w:rsidRPr="005E1925">
        <w:rPr>
          <w:rFonts w:asciiTheme="minorEastAsia" w:eastAsiaTheme="minorEastAsia" w:hAnsiTheme="minorEastAsia" w:cs="宋体" w:hint="eastAsia"/>
          <w:color w:val="000000"/>
          <w:kern w:val="0"/>
          <w:sz w:val="28"/>
          <w:szCs w:val="32"/>
        </w:rPr>
        <w:t>之间不存在关联关系，不属于关联担保。</w:t>
      </w:r>
      <w:proofErr w:type="gramStart"/>
      <w:r w:rsidRPr="005E1925">
        <w:rPr>
          <w:rFonts w:asciiTheme="minorEastAsia" w:eastAsiaTheme="minorEastAsia" w:hAnsiTheme="minorEastAsia" w:cs="宋体" w:hint="eastAsia"/>
          <w:color w:val="000000"/>
          <w:kern w:val="0"/>
          <w:sz w:val="28"/>
          <w:szCs w:val="32"/>
        </w:rPr>
        <w:t>恒旺公司</w:t>
      </w:r>
      <w:proofErr w:type="gramEnd"/>
      <w:r w:rsidR="0081469B" w:rsidRPr="005E1925">
        <w:rPr>
          <w:rFonts w:asciiTheme="minorEastAsia" w:eastAsiaTheme="minorEastAsia" w:hAnsiTheme="minorEastAsia" w:cs="宋体" w:hint="eastAsia"/>
          <w:color w:val="000000"/>
          <w:kern w:val="0"/>
          <w:sz w:val="28"/>
          <w:szCs w:val="32"/>
        </w:rPr>
        <w:t>在接受担保时审核了《董事会决议》，已尽到相应注意义务，故本案担保合法有效。</w:t>
      </w:r>
    </w:p>
    <w:p w:rsidR="004E5F6D" w:rsidRPr="005E1925" w:rsidRDefault="008B11B8"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上海市嘉定区人民法院</w:t>
      </w:r>
      <w:r w:rsidR="00680327" w:rsidRPr="005E1925">
        <w:rPr>
          <w:rFonts w:asciiTheme="minorEastAsia" w:eastAsiaTheme="minorEastAsia" w:hAnsiTheme="minorEastAsia" w:cs="宋体" w:hint="eastAsia"/>
          <w:color w:val="000000"/>
          <w:kern w:val="0"/>
          <w:sz w:val="28"/>
          <w:szCs w:val="32"/>
        </w:rPr>
        <w:t>一审</w:t>
      </w:r>
      <w:r w:rsidR="0004042C" w:rsidRPr="005E1925">
        <w:rPr>
          <w:rFonts w:asciiTheme="minorEastAsia" w:eastAsiaTheme="minorEastAsia" w:hAnsiTheme="minorEastAsia" w:cs="宋体" w:hint="eastAsia"/>
          <w:color w:val="000000"/>
          <w:kern w:val="0"/>
          <w:sz w:val="28"/>
          <w:szCs w:val="32"/>
        </w:rPr>
        <w:t>判决</w:t>
      </w:r>
      <w:proofErr w:type="gramStart"/>
      <w:r w:rsidR="00F322F7" w:rsidRPr="005E1925">
        <w:rPr>
          <w:rFonts w:asciiTheme="minorEastAsia" w:eastAsiaTheme="minorEastAsia" w:hAnsiTheme="minorEastAsia" w:cs="宋体" w:hint="eastAsia"/>
          <w:color w:val="000000"/>
          <w:kern w:val="0"/>
          <w:sz w:val="28"/>
          <w:szCs w:val="32"/>
        </w:rPr>
        <w:t>南华深科公司</w:t>
      </w:r>
      <w:proofErr w:type="gramEnd"/>
      <w:r w:rsidR="0004042C" w:rsidRPr="005E1925">
        <w:rPr>
          <w:rFonts w:asciiTheme="minorEastAsia" w:eastAsiaTheme="minorEastAsia" w:hAnsiTheme="minorEastAsia" w:cs="宋体" w:hint="eastAsia"/>
          <w:color w:val="000000"/>
          <w:kern w:val="0"/>
          <w:sz w:val="28"/>
          <w:szCs w:val="32"/>
        </w:rPr>
        <w:t>应</w:t>
      </w:r>
      <w:proofErr w:type="gramStart"/>
      <w:r w:rsidR="0004042C" w:rsidRPr="005E1925">
        <w:rPr>
          <w:rFonts w:asciiTheme="minorEastAsia" w:eastAsiaTheme="minorEastAsia" w:hAnsiTheme="minorEastAsia" w:cs="宋体" w:hint="eastAsia"/>
          <w:color w:val="000000"/>
          <w:kern w:val="0"/>
          <w:sz w:val="28"/>
          <w:szCs w:val="32"/>
        </w:rPr>
        <w:t>返还</w:t>
      </w:r>
      <w:r w:rsidR="00F322F7" w:rsidRPr="005E1925">
        <w:rPr>
          <w:rFonts w:asciiTheme="minorEastAsia" w:eastAsiaTheme="minorEastAsia" w:hAnsiTheme="minorEastAsia" w:cs="宋体" w:hint="eastAsia"/>
          <w:color w:val="000000"/>
          <w:kern w:val="0"/>
          <w:sz w:val="28"/>
          <w:szCs w:val="32"/>
        </w:rPr>
        <w:t>恒旺公司</w:t>
      </w:r>
      <w:proofErr w:type="gramEnd"/>
      <w:r w:rsidRPr="005E1925">
        <w:rPr>
          <w:rFonts w:asciiTheme="minorEastAsia" w:eastAsiaTheme="minorEastAsia" w:hAnsiTheme="minorEastAsia" w:cs="宋体" w:hint="eastAsia"/>
          <w:color w:val="000000"/>
          <w:kern w:val="0"/>
          <w:sz w:val="28"/>
          <w:szCs w:val="32"/>
        </w:rPr>
        <w:t>融资本金5,500万元并偿付资金占用费1,542,465.75元</w:t>
      </w:r>
      <w:r w:rsidR="00D11807" w:rsidRPr="005E1925">
        <w:rPr>
          <w:rFonts w:asciiTheme="minorEastAsia" w:eastAsiaTheme="minorEastAsia" w:hAnsiTheme="minorEastAsia" w:cs="宋体" w:hint="eastAsia"/>
          <w:color w:val="000000"/>
          <w:kern w:val="0"/>
          <w:sz w:val="28"/>
          <w:szCs w:val="32"/>
        </w:rPr>
        <w:t>、</w:t>
      </w:r>
      <w:r w:rsidRPr="005E1925">
        <w:rPr>
          <w:rFonts w:asciiTheme="minorEastAsia" w:eastAsiaTheme="minorEastAsia" w:hAnsiTheme="minorEastAsia" w:cs="宋体" w:hint="eastAsia"/>
          <w:color w:val="000000"/>
          <w:kern w:val="0"/>
          <w:sz w:val="28"/>
          <w:szCs w:val="32"/>
        </w:rPr>
        <w:t>逾期付款违约金</w:t>
      </w:r>
      <w:r w:rsidR="00D11807" w:rsidRPr="005E1925">
        <w:rPr>
          <w:rFonts w:asciiTheme="minorEastAsia" w:eastAsiaTheme="minorEastAsia" w:hAnsiTheme="minorEastAsia" w:cs="宋体" w:hint="eastAsia"/>
          <w:color w:val="000000"/>
          <w:kern w:val="0"/>
          <w:sz w:val="28"/>
          <w:szCs w:val="32"/>
        </w:rPr>
        <w:t>、</w:t>
      </w:r>
      <w:r w:rsidRPr="005E1925">
        <w:rPr>
          <w:rFonts w:asciiTheme="minorEastAsia" w:eastAsiaTheme="minorEastAsia" w:hAnsiTheme="minorEastAsia" w:cs="宋体" w:hint="eastAsia"/>
          <w:color w:val="000000"/>
          <w:kern w:val="0"/>
          <w:sz w:val="28"/>
          <w:szCs w:val="32"/>
        </w:rPr>
        <w:t>律师费</w:t>
      </w:r>
      <w:r w:rsidR="00D11807" w:rsidRPr="005E1925">
        <w:rPr>
          <w:rFonts w:asciiTheme="minorEastAsia" w:eastAsiaTheme="minorEastAsia" w:hAnsiTheme="minorEastAsia" w:cs="宋体" w:hint="eastAsia"/>
          <w:color w:val="000000"/>
          <w:kern w:val="0"/>
          <w:sz w:val="28"/>
          <w:szCs w:val="32"/>
        </w:rPr>
        <w:t>及</w:t>
      </w:r>
      <w:r w:rsidRPr="005E1925">
        <w:rPr>
          <w:rFonts w:asciiTheme="minorEastAsia" w:eastAsiaTheme="minorEastAsia" w:hAnsiTheme="minorEastAsia" w:cs="宋体" w:hint="eastAsia"/>
          <w:color w:val="000000"/>
          <w:kern w:val="0"/>
          <w:sz w:val="28"/>
          <w:szCs w:val="32"/>
        </w:rPr>
        <w:t>诉讼保全保险费45,040</w:t>
      </w:r>
      <w:r w:rsidR="00D11807" w:rsidRPr="005E1925">
        <w:rPr>
          <w:rFonts w:asciiTheme="minorEastAsia" w:eastAsiaTheme="minorEastAsia" w:hAnsiTheme="minorEastAsia" w:cs="宋体" w:hint="eastAsia"/>
          <w:color w:val="000000"/>
          <w:kern w:val="0"/>
          <w:sz w:val="28"/>
          <w:szCs w:val="32"/>
        </w:rPr>
        <w:t>元；</w:t>
      </w:r>
      <w:r w:rsidR="00F322F7" w:rsidRPr="005E1925">
        <w:rPr>
          <w:rFonts w:asciiTheme="minorEastAsia" w:eastAsiaTheme="minorEastAsia" w:hAnsiTheme="minorEastAsia" w:cs="宋体" w:hint="eastAsia"/>
          <w:color w:val="000000"/>
          <w:kern w:val="0"/>
          <w:sz w:val="28"/>
          <w:szCs w:val="32"/>
        </w:rPr>
        <w:t>天润公司</w:t>
      </w:r>
      <w:r w:rsidR="00395239" w:rsidRPr="005E1925">
        <w:rPr>
          <w:rFonts w:asciiTheme="minorEastAsia" w:eastAsiaTheme="minorEastAsia" w:hAnsiTheme="minorEastAsia" w:cs="宋体" w:hint="eastAsia"/>
          <w:color w:val="000000"/>
          <w:kern w:val="0"/>
          <w:sz w:val="28"/>
          <w:szCs w:val="32"/>
        </w:rPr>
        <w:t>、赖某</w:t>
      </w:r>
      <w:r w:rsidR="0004042C" w:rsidRPr="005E1925">
        <w:rPr>
          <w:rFonts w:asciiTheme="minorEastAsia" w:eastAsiaTheme="minorEastAsia" w:hAnsiTheme="minorEastAsia" w:cs="宋体" w:hint="eastAsia"/>
          <w:color w:val="000000"/>
          <w:kern w:val="0"/>
          <w:sz w:val="28"/>
          <w:szCs w:val="32"/>
        </w:rPr>
        <w:t>锋对</w:t>
      </w:r>
      <w:proofErr w:type="gramStart"/>
      <w:r w:rsidR="00F322F7" w:rsidRPr="005E1925">
        <w:rPr>
          <w:rFonts w:asciiTheme="minorEastAsia" w:eastAsiaTheme="minorEastAsia" w:hAnsiTheme="minorEastAsia" w:cs="宋体" w:hint="eastAsia"/>
          <w:color w:val="000000"/>
          <w:kern w:val="0"/>
          <w:sz w:val="28"/>
          <w:szCs w:val="32"/>
        </w:rPr>
        <w:t>南华深科公司</w:t>
      </w:r>
      <w:proofErr w:type="gramEnd"/>
      <w:r w:rsidR="0004042C" w:rsidRPr="005E1925">
        <w:rPr>
          <w:rFonts w:asciiTheme="minorEastAsia" w:eastAsiaTheme="minorEastAsia" w:hAnsiTheme="minorEastAsia" w:cs="宋体" w:hint="eastAsia"/>
          <w:color w:val="000000"/>
          <w:kern w:val="0"/>
          <w:sz w:val="28"/>
          <w:szCs w:val="32"/>
        </w:rPr>
        <w:t>的上述付款义务承担连带保证责任。</w:t>
      </w:r>
      <w:r w:rsidR="00F322F7" w:rsidRPr="005E1925">
        <w:rPr>
          <w:rFonts w:asciiTheme="minorEastAsia" w:eastAsiaTheme="minorEastAsia" w:hAnsiTheme="minorEastAsia" w:cs="宋体" w:hint="eastAsia"/>
          <w:color w:val="000000"/>
          <w:kern w:val="0"/>
          <w:sz w:val="28"/>
          <w:szCs w:val="32"/>
        </w:rPr>
        <w:t>天润公司</w:t>
      </w:r>
      <w:r w:rsidR="00346DF8" w:rsidRPr="005E1925">
        <w:rPr>
          <w:rFonts w:asciiTheme="minorEastAsia" w:eastAsiaTheme="minorEastAsia" w:hAnsiTheme="minorEastAsia" w:cs="宋体" w:hint="eastAsia"/>
          <w:color w:val="000000"/>
          <w:kern w:val="0"/>
          <w:sz w:val="28"/>
          <w:szCs w:val="32"/>
        </w:rPr>
        <w:t>、赖某</w:t>
      </w:r>
      <w:r w:rsidR="0004042C" w:rsidRPr="005E1925">
        <w:rPr>
          <w:rFonts w:asciiTheme="minorEastAsia" w:eastAsiaTheme="minorEastAsia" w:hAnsiTheme="minorEastAsia" w:cs="宋体" w:hint="eastAsia"/>
          <w:color w:val="000000"/>
          <w:kern w:val="0"/>
          <w:sz w:val="28"/>
          <w:szCs w:val="32"/>
        </w:rPr>
        <w:t>锋履行了保证责任后，有权向</w:t>
      </w:r>
      <w:proofErr w:type="gramStart"/>
      <w:r w:rsidR="00F322F7" w:rsidRPr="005E1925">
        <w:rPr>
          <w:rFonts w:asciiTheme="minorEastAsia" w:eastAsiaTheme="minorEastAsia" w:hAnsiTheme="minorEastAsia" w:cs="宋体" w:hint="eastAsia"/>
          <w:color w:val="000000"/>
          <w:kern w:val="0"/>
          <w:sz w:val="28"/>
          <w:szCs w:val="32"/>
        </w:rPr>
        <w:t>南华深科公司</w:t>
      </w:r>
      <w:proofErr w:type="gramEnd"/>
      <w:r w:rsidRPr="005E1925">
        <w:rPr>
          <w:rFonts w:asciiTheme="minorEastAsia" w:eastAsiaTheme="minorEastAsia" w:hAnsiTheme="minorEastAsia" w:cs="宋体" w:hint="eastAsia"/>
          <w:color w:val="000000"/>
          <w:kern w:val="0"/>
          <w:sz w:val="28"/>
          <w:szCs w:val="32"/>
        </w:rPr>
        <w:t>追偿。</w:t>
      </w:r>
      <w:r w:rsidR="00346DF8" w:rsidRPr="005E1925">
        <w:rPr>
          <w:rFonts w:asciiTheme="minorEastAsia" w:eastAsiaTheme="minorEastAsia" w:hAnsiTheme="minorEastAsia" w:cs="宋体" w:hint="eastAsia"/>
          <w:color w:val="000000"/>
          <w:kern w:val="0"/>
          <w:sz w:val="28"/>
          <w:szCs w:val="32"/>
        </w:rPr>
        <w:t>宣判后，</w:t>
      </w:r>
      <w:r w:rsidR="00F322F7" w:rsidRPr="005E1925">
        <w:rPr>
          <w:rFonts w:asciiTheme="minorEastAsia" w:eastAsiaTheme="minorEastAsia" w:hAnsiTheme="minorEastAsia" w:cs="宋体" w:hint="eastAsia"/>
          <w:color w:val="000000"/>
          <w:kern w:val="0"/>
          <w:sz w:val="28"/>
          <w:szCs w:val="32"/>
        </w:rPr>
        <w:t>天润公司</w:t>
      </w:r>
      <w:r w:rsidR="00346DF8" w:rsidRPr="005E1925">
        <w:rPr>
          <w:rFonts w:asciiTheme="minorEastAsia" w:eastAsiaTheme="minorEastAsia" w:hAnsiTheme="minorEastAsia" w:cs="宋体" w:hint="eastAsia"/>
          <w:color w:val="000000"/>
          <w:kern w:val="0"/>
          <w:sz w:val="28"/>
          <w:szCs w:val="32"/>
        </w:rPr>
        <w:t>提出上诉。上海金融法院于</w:t>
      </w:r>
      <w:r w:rsidR="00680327" w:rsidRPr="005E1925">
        <w:rPr>
          <w:rFonts w:asciiTheme="minorEastAsia" w:eastAsiaTheme="minorEastAsia" w:hAnsiTheme="minorEastAsia" w:cs="宋体" w:hint="eastAsia"/>
          <w:color w:val="000000"/>
          <w:kern w:val="0"/>
          <w:sz w:val="28"/>
          <w:szCs w:val="32"/>
        </w:rPr>
        <w:t>二审</w:t>
      </w:r>
      <w:r w:rsidR="00346DF8" w:rsidRPr="005E1925">
        <w:rPr>
          <w:rFonts w:asciiTheme="minorEastAsia" w:eastAsiaTheme="minorEastAsia" w:hAnsiTheme="minorEastAsia" w:cs="宋体" w:hint="eastAsia"/>
          <w:color w:val="000000"/>
          <w:kern w:val="0"/>
          <w:sz w:val="28"/>
          <w:szCs w:val="32"/>
        </w:rPr>
        <w:t>判决</w:t>
      </w:r>
      <w:r w:rsidR="00F322F7" w:rsidRPr="005E1925">
        <w:rPr>
          <w:rFonts w:asciiTheme="minorEastAsia" w:eastAsiaTheme="minorEastAsia" w:hAnsiTheme="minorEastAsia" w:cs="宋体" w:hint="eastAsia"/>
          <w:color w:val="000000"/>
          <w:kern w:val="0"/>
          <w:sz w:val="28"/>
          <w:szCs w:val="32"/>
        </w:rPr>
        <w:t>天润公司</w:t>
      </w:r>
      <w:r w:rsidR="008520D9" w:rsidRPr="005E1925">
        <w:rPr>
          <w:rFonts w:asciiTheme="minorEastAsia" w:eastAsiaTheme="minorEastAsia" w:hAnsiTheme="minorEastAsia" w:cs="宋体" w:hint="eastAsia"/>
          <w:color w:val="000000"/>
          <w:kern w:val="0"/>
          <w:sz w:val="28"/>
          <w:szCs w:val="32"/>
        </w:rPr>
        <w:t>对</w:t>
      </w:r>
      <w:proofErr w:type="gramStart"/>
      <w:r w:rsidR="00F322F7" w:rsidRPr="005E1925">
        <w:rPr>
          <w:rFonts w:asciiTheme="minorEastAsia" w:eastAsiaTheme="minorEastAsia" w:hAnsiTheme="minorEastAsia" w:cs="宋体" w:hint="eastAsia"/>
          <w:color w:val="000000"/>
          <w:kern w:val="0"/>
          <w:sz w:val="28"/>
          <w:szCs w:val="32"/>
        </w:rPr>
        <w:t>南华深科公司</w:t>
      </w:r>
      <w:proofErr w:type="gramEnd"/>
      <w:r w:rsidR="008520D9" w:rsidRPr="005E1925">
        <w:rPr>
          <w:rFonts w:asciiTheme="minorEastAsia" w:eastAsiaTheme="minorEastAsia" w:hAnsiTheme="minorEastAsia" w:cs="宋体" w:hint="eastAsia"/>
          <w:color w:val="000000"/>
          <w:kern w:val="0"/>
          <w:sz w:val="28"/>
          <w:szCs w:val="32"/>
        </w:rPr>
        <w:t>的</w:t>
      </w:r>
      <w:r w:rsidR="00855878" w:rsidRPr="005E1925">
        <w:rPr>
          <w:rFonts w:asciiTheme="minorEastAsia" w:eastAsiaTheme="minorEastAsia" w:hAnsiTheme="minorEastAsia" w:cs="宋体" w:hint="eastAsia"/>
          <w:color w:val="000000"/>
          <w:kern w:val="0"/>
          <w:sz w:val="28"/>
          <w:szCs w:val="32"/>
        </w:rPr>
        <w:t>上述</w:t>
      </w:r>
      <w:r w:rsidR="008520D9" w:rsidRPr="005E1925">
        <w:rPr>
          <w:rFonts w:asciiTheme="minorEastAsia" w:eastAsiaTheme="minorEastAsia" w:hAnsiTheme="minorEastAsia" w:cs="宋体" w:hint="eastAsia"/>
          <w:color w:val="000000"/>
          <w:kern w:val="0"/>
          <w:sz w:val="28"/>
          <w:szCs w:val="32"/>
        </w:rPr>
        <w:t>付款义务不能清偿部分的二分之一承担赔偿责任，</w:t>
      </w:r>
      <w:r w:rsidR="00F322F7" w:rsidRPr="005E1925">
        <w:rPr>
          <w:rFonts w:asciiTheme="minorEastAsia" w:eastAsiaTheme="minorEastAsia" w:hAnsiTheme="minorEastAsia" w:cs="宋体" w:hint="eastAsia"/>
          <w:color w:val="000000"/>
          <w:kern w:val="0"/>
          <w:sz w:val="28"/>
          <w:szCs w:val="32"/>
        </w:rPr>
        <w:t>天润公司</w:t>
      </w:r>
      <w:r w:rsidR="008520D9" w:rsidRPr="005E1925">
        <w:rPr>
          <w:rFonts w:asciiTheme="minorEastAsia" w:eastAsiaTheme="minorEastAsia" w:hAnsiTheme="minorEastAsia" w:cs="宋体" w:hint="eastAsia"/>
          <w:color w:val="000000"/>
          <w:kern w:val="0"/>
          <w:sz w:val="28"/>
          <w:szCs w:val="32"/>
        </w:rPr>
        <w:t>承担赔偿责任后，可以向</w:t>
      </w:r>
      <w:proofErr w:type="gramStart"/>
      <w:r w:rsidR="00F322F7" w:rsidRPr="005E1925">
        <w:rPr>
          <w:rFonts w:asciiTheme="minorEastAsia" w:eastAsiaTheme="minorEastAsia" w:hAnsiTheme="minorEastAsia" w:cs="宋体" w:hint="eastAsia"/>
          <w:color w:val="000000"/>
          <w:kern w:val="0"/>
          <w:sz w:val="28"/>
          <w:szCs w:val="32"/>
        </w:rPr>
        <w:t>南华深科公司</w:t>
      </w:r>
      <w:proofErr w:type="gramEnd"/>
      <w:r w:rsidR="008520D9" w:rsidRPr="005E1925">
        <w:rPr>
          <w:rFonts w:asciiTheme="minorEastAsia" w:eastAsiaTheme="minorEastAsia" w:hAnsiTheme="minorEastAsia" w:cs="宋体" w:hint="eastAsia"/>
          <w:color w:val="000000"/>
          <w:kern w:val="0"/>
          <w:sz w:val="28"/>
          <w:szCs w:val="32"/>
        </w:rPr>
        <w:t>追偿</w:t>
      </w:r>
      <w:r w:rsidR="00855878" w:rsidRPr="005E1925">
        <w:rPr>
          <w:rFonts w:asciiTheme="minorEastAsia" w:eastAsiaTheme="minorEastAsia" w:hAnsiTheme="minorEastAsia" w:cs="宋体" w:hint="eastAsia"/>
          <w:color w:val="000000"/>
          <w:kern w:val="0"/>
          <w:sz w:val="28"/>
          <w:szCs w:val="32"/>
        </w:rPr>
        <w:t>。</w:t>
      </w:r>
    </w:p>
    <w:p w:rsidR="00DE7934" w:rsidRDefault="00DE7934" w:rsidP="00855878">
      <w:pPr>
        <w:adjustRightInd w:val="0"/>
        <w:snapToGrid w:val="0"/>
        <w:spacing w:line="560" w:lineRule="exact"/>
        <w:ind w:firstLineChars="200" w:firstLine="640"/>
        <w:rPr>
          <w:rFonts w:ascii="仿宋_GB2312" w:eastAsia="仿宋_GB2312" w:hAnsi="宋体"/>
          <w:color w:val="000000"/>
          <w:kern w:val="0"/>
          <w:sz w:val="32"/>
          <w:szCs w:val="32"/>
        </w:rPr>
      </w:pPr>
    </w:p>
    <w:p w:rsidR="00076C39" w:rsidRDefault="00076C39" w:rsidP="00076C39">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【专家点评】</w:t>
      </w:r>
    </w:p>
    <w:p w:rsidR="00076C39" w:rsidRPr="005E1925" w:rsidRDefault="00076C39" w:rsidP="005E1925">
      <w:pPr>
        <w:widowControl/>
        <w:spacing w:line="560" w:lineRule="exact"/>
        <w:ind w:firstLineChars="200" w:firstLine="560"/>
        <w:rPr>
          <w:rFonts w:ascii="黑体" w:eastAsia="黑体" w:hAnsi="黑体"/>
          <w:sz w:val="28"/>
          <w:szCs w:val="32"/>
        </w:rPr>
      </w:pPr>
      <w:r w:rsidRPr="005E1925">
        <w:rPr>
          <w:rFonts w:ascii="黑体" w:eastAsia="黑体" w:hAnsi="黑体" w:hint="eastAsia"/>
          <w:sz w:val="28"/>
          <w:szCs w:val="32"/>
        </w:rPr>
        <w:t>点评人：韩长印，上海交通大学</w:t>
      </w:r>
      <w:proofErr w:type="gramStart"/>
      <w:r w:rsidRPr="005E1925">
        <w:rPr>
          <w:rFonts w:ascii="黑体" w:eastAsia="黑体" w:hAnsi="黑体" w:hint="eastAsia"/>
          <w:sz w:val="28"/>
          <w:szCs w:val="32"/>
        </w:rPr>
        <w:t>凯</w:t>
      </w:r>
      <w:proofErr w:type="gramEnd"/>
      <w:r w:rsidRPr="005E1925">
        <w:rPr>
          <w:rFonts w:ascii="黑体" w:eastAsia="黑体" w:hAnsi="黑体" w:hint="eastAsia"/>
          <w:sz w:val="28"/>
          <w:szCs w:val="32"/>
        </w:rPr>
        <w:t>原法学院教授</w:t>
      </w:r>
    </w:p>
    <w:p w:rsidR="00076C39" w:rsidRPr="005E1925" w:rsidRDefault="00076C39" w:rsidP="00076C39">
      <w:pPr>
        <w:spacing w:line="560" w:lineRule="exact"/>
        <w:ind w:firstLine="564"/>
        <w:contextualSpacing/>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公司能否独立对外提供担保是一个既涉及公司权利能力边界又涉及公司营业自由的公司法命题。我国《公司法》第1</w:t>
      </w:r>
      <w:r w:rsidRPr="005E1925">
        <w:rPr>
          <w:rFonts w:asciiTheme="minorEastAsia" w:eastAsiaTheme="minorEastAsia" w:hAnsiTheme="minorEastAsia" w:cs="宋体"/>
          <w:color w:val="000000"/>
          <w:kern w:val="0"/>
          <w:sz w:val="28"/>
          <w:szCs w:val="32"/>
        </w:rPr>
        <w:t>6</w:t>
      </w:r>
      <w:r w:rsidRPr="005E1925">
        <w:rPr>
          <w:rFonts w:asciiTheme="minorEastAsia" w:eastAsiaTheme="minorEastAsia" w:hAnsiTheme="minorEastAsia" w:cs="宋体" w:hint="eastAsia"/>
          <w:color w:val="000000"/>
          <w:kern w:val="0"/>
          <w:sz w:val="28"/>
          <w:szCs w:val="32"/>
        </w:rPr>
        <w:t>条第2款规定：“公司为公司股东或者实际控制人提供担保的，必须经股东会或者股东大会决议。”第148条同时规定：“董事、高级管理人员不得有下列行为：……（三）违反公司章程的规定，未经股东会、股东大会或者董事会同意，将公司资金借贷给他人或者以公司财产为他人提供担保……。”前述法条的规范目的究竟系为防范董事高管与公司的利益冲突问题，还是在兼顾保障债权人利益的同时对公司权利能力</w:t>
      </w:r>
      <w:proofErr w:type="gramStart"/>
      <w:r w:rsidRPr="005E1925">
        <w:rPr>
          <w:rFonts w:asciiTheme="minorEastAsia" w:eastAsiaTheme="minorEastAsia" w:hAnsiTheme="minorEastAsia" w:cs="宋体" w:hint="eastAsia"/>
          <w:color w:val="000000"/>
          <w:kern w:val="0"/>
          <w:sz w:val="28"/>
          <w:szCs w:val="32"/>
        </w:rPr>
        <w:t>作出</w:t>
      </w:r>
      <w:proofErr w:type="gramEnd"/>
      <w:r w:rsidRPr="005E1925">
        <w:rPr>
          <w:rFonts w:asciiTheme="minorEastAsia" w:eastAsiaTheme="minorEastAsia" w:hAnsiTheme="minorEastAsia" w:cs="宋体" w:hint="eastAsia"/>
          <w:color w:val="000000"/>
          <w:kern w:val="0"/>
          <w:sz w:val="28"/>
          <w:szCs w:val="32"/>
        </w:rPr>
        <w:t>必要的限制，实际上并不明确。我国台湾地区“公司法”就明文规定，除依其他法律或者章程规定以保证为业务者外，公司不得为任何保证人，也不得为他人提供抵押、质押等担保。负责人违反者，除应自负保证责任外，如公司受有损害，也应付赔偿责任。</w:t>
      </w:r>
    </w:p>
    <w:p w:rsidR="00076C39" w:rsidRPr="005E1925" w:rsidRDefault="00076C39" w:rsidP="00076C39">
      <w:pPr>
        <w:spacing w:line="560" w:lineRule="exact"/>
        <w:ind w:firstLine="564"/>
        <w:contextualSpacing/>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本案同时涉及实际控制人的认定、关联担保的认定、上市公司的公众性属性及其担保能力的特殊限制等问题，还涉及对外担保问题上究竟应当重担保合同的形式外观，还是</w:t>
      </w:r>
      <w:proofErr w:type="gramStart"/>
      <w:r w:rsidRPr="005E1925">
        <w:rPr>
          <w:rFonts w:asciiTheme="minorEastAsia" w:eastAsiaTheme="minorEastAsia" w:hAnsiTheme="minorEastAsia" w:cs="宋体" w:hint="eastAsia"/>
          <w:color w:val="000000"/>
          <w:kern w:val="0"/>
          <w:sz w:val="28"/>
          <w:szCs w:val="32"/>
        </w:rPr>
        <w:t>重公司</w:t>
      </w:r>
      <w:proofErr w:type="gramEnd"/>
      <w:r w:rsidRPr="005E1925">
        <w:rPr>
          <w:rFonts w:asciiTheme="minorEastAsia" w:eastAsiaTheme="minorEastAsia" w:hAnsiTheme="minorEastAsia" w:cs="宋体" w:hint="eastAsia"/>
          <w:color w:val="000000"/>
          <w:kern w:val="0"/>
          <w:sz w:val="28"/>
          <w:szCs w:val="32"/>
        </w:rPr>
        <w:t>内部的意思形成程序。本案法官通过自身深厚的学养，根据我国《合同法》第</w:t>
      </w:r>
      <w:r w:rsidRPr="005E1925">
        <w:rPr>
          <w:rFonts w:asciiTheme="minorEastAsia" w:eastAsiaTheme="minorEastAsia" w:hAnsiTheme="minorEastAsia" w:cs="宋体"/>
          <w:color w:val="000000"/>
          <w:kern w:val="0"/>
          <w:sz w:val="28"/>
          <w:szCs w:val="32"/>
        </w:rPr>
        <w:t>50</w:t>
      </w:r>
      <w:r w:rsidRPr="005E1925">
        <w:rPr>
          <w:rFonts w:asciiTheme="minorEastAsia" w:eastAsiaTheme="minorEastAsia" w:hAnsiTheme="minorEastAsia" w:cs="宋体" w:hint="eastAsia"/>
          <w:color w:val="000000"/>
          <w:kern w:val="0"/>
          <w:sz w:val="28"/>
          <w:szCs w:val="32"/>
        </w:rPr>
        <w:t>条（现《民法典》第504条）关于订立合同时债权人对公司法定代表人的越权行为是否善意的判断方法，对前述交织在一起的诸多复杂问题抽丝剥茧、条分缕析，</w:t>
      </w:r>
      <w:proofErr w:type="gramStart"/>
      <w:r w:rsidRPr="005E1925">
        <w:rPr>
          <w:rFonts w:asciiTheme="minorEastAsia" w:eastAsiaTheme="minorEastAsia" w:hAnsiTheme="minorEastAsia" w:cs="宋体" w:hint="eastAsia"/>
          <w:color w:val="000000"/>
          <w:kern w:val="0"/>
          <w:sz w:val="28"/>
          <w:szCs w:val="32"/>
        </w:rPr>
        <w:t>作出</w:t>
      </w:r>
      <w:proofErr w:type="gramEnd"/>
      <w:r w:rsidRPr="005E1925">
        <w:rPr>
          <w:rFonts w:asciiTheme="minorEastAsia" w:eastAsiaTheme="minorEastAsia" w:hAnsiTheme="minorEastAsia" w:cs="宋体" w:hint="eastAsia"/>
          <w:color w:val="000000"/>
          <w:kern w:val="0"/>
          <w:sz w:val="28"/>
          <w:szCs w:val="32"/>
        </w:rPr>
        <w:t>了符合“实质合理性”的臻于至当的判决。</w:t>
      </w:r>
    </w:p>
    <w:p w:rsidR="00076C39" w:rsidRPr="005E1925" w:rsidRDefault="00076C39" w:rsidP="00076C39">
      <w:pPr>
        <w:widowControl/>
        <w:jc w:val="left"/>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color w:val="000000"/>
          <w:kern w:val="0"/>
          <w:sz w:val="28"/>
          <w:szCs w:val="32"/>
        </w:rPr>
        <w:br w:type="page"/>
      </w:r>
    </w:p>
    <w:p w:rsidR="00BF1980" w:rsidRPr="005E1925" w:rsidRDefault="003D4A0A" w:rsidP="00FC5303">
      <w:pPr>
        <w:spacing w:line="560" w:lineRule="exact"/>
        <w:jc w:val="center"/>
        <w:rPr>
          <w:rFonts w:ascii="黑体" w:eastAsia="黑体" w:hAnsi="黑体"/>
          <w:color w:val="000000"/>
          <w:kern w:val="0"/>
          <w:sz w:val="32"/>
          <w:szCs w:val="36"/>
        </w:rPr>
      </w:pPr>
      <w:proofErr w:type="gramStart"/>
      <w:r w:rsidRPr="005E1925">
        <w:rPr>
          <w:rFonts w:ascii="黑体" w:eastAsia="黑体" w:hAnsi="黑体" w:hint="eastAsia"/>
          <w:color w:val="000000"/>
          <w:kern w:val="0"/>
          <w:sz w:val="32"/>
          <w:szCs w:val="36"/>
        </w:rPr>
        <w:t>资管计划</w:t>
      </w:r>
      <w:proofErr w:type="gramEnd"/>
      <w:r w:rsidRPr="005E1925">
        <w:rPr>
          <w:rFonts w:ascii="黑体" w:eastAsia="黑体" w:hAnsi="黑体" w:hint="eastAsia"/>
          <w:color w:val="000000"/>
          <w:kern w:val="0"/>
          <w:sz w:val="32"/>
          <w:szCs w:val="36"/>
        </w:rPr>
        <w:t>作为司法拍卖竞买主体的资格审查</w:t>
      </w:r>
    </w:p>
    <w:p w:rsidR="00CE7F0B" w:rsidRPr="005E1925" w:rsidRDefault="009C0E01" w:rsidP="00FC5303">
      <w:pPr>
        <w:spacing w:line="560" w:lineRule="exact"/>
        <w:jc w:val="center"/>
        <w:rPr>
          <w:rFonts w:asciiTheme="minorEastAsia" w:eastAsiaTheme="minorEastAsia" w:hAnsiTheme="minorEastAsia" w:cs="宋体"/>
          <w:color w:val="000000"/>
          <w:kern w:val="0"/>
          <w:sz w:val="28"/>
          <w:szCs w:val="32"/>
        </w:rPr>
      </w:pPr>
      <w:r>
        <w:rPr>
          <w:rFonts w:ascii="仿宋_GB2312" w:eastAsia="仿宋_GB2312" w:hAnsi="宋体" w:hint="eastAsia"/>
          <w:color w:val="000000"/>
          <w:kern w:val="0"/>
          <w:sz w:val="32"/>
          <w:szCs w:val="32"/>
        </w:rPr>
        <w:t>——</w:t>
      </w:r>
      <w:r w:rsidR="006136D4" w:rsidRPr="005E1925">
        <w:rPr>
          <w:rFonts w:asciiTheme="minorEastAsia" w:eastAsiaTheme="minorEastAsia" w:hAnsiTheme="minorEastAsia" w:cs="宋体" w:hint="eastAsia"/>
          <w:color w:val="000000"/>
          <w:kern w:val="0"/>
          <w:sz w:val="28"/>
          <w:szCs w:val="32"/>
        </w:rPr>
        <w:t>海通证券股份有限公司申请执行中国华力控股集团有限公司、丁某山质押</w:t>
      </w:r>
      <w:proofErr w:type="gramStart"/>
      <w:r w:rsidR="006136D4" w:rsidRPr="005E1925">
        <w:rPr>
          <w:rFonts w:asciiTheme="minorEastAsia" w:eastAsiaTheme="minorEastAsia" w:hAnsiTheme="minorEastAsia" w:cs="宋体" w:hint="eastAsia"/>
          <w:color w:val="000000"/>
          <w:kern w:val="0"/>
          <w:sz w:val="28"/>
          <w:szCs w:val="32"/>
        </w:rPr>
        <w:t>式证券</w:t>
      </w:r>
      <w:proofErr w:type="gramEnd"/>
      <w:r w:rsidR="006136D4" w:rsidRPr="005E1925">
        <w:rPr>
          <w:rFonts w:asciiTheme="minorEastAsia" w:eastAsiaTheme="minorEastAsia" w:hAnsiTheme="minorEastAsia" w:cs="宋体" w:hint="eastAsia"/>
          <w:color w:val="000000"/>
          <w:kern w:val="0"/>
          <w:sz w:val="28"/>
          <w:szCs w:val="32"/>
        </w:rPr>
        <w:t>回购纠纷案</w:t>
      </w:r>
    </w:p>
    <w:p w:rsidR="00BF1980" w:rsidRDefault="00BF1980" w:rsidP="00FC5303">
      <w:pPr>
        <w:spacing w:line="560" w:lineRule="exact"/>
        <w:jc w:val="center"/>
        <w:rPr>
          <w:rFonts w:ascii="仿宋_GB2312" w:eastAsia="仿宋_GB2312" w:hAnsi="宋体"/>
          <w:color w:val="000000"/>
          <w:kern w:val="0"/>
          <w:sz w:val="32"/>
          <w:szCs w:val="32"/>
        </w:rPr>
      </w:pPr>
    </w:p>
    <w:p w:rsidR="000B5303" w:rsidRPr="007002AD" w:rsidRDefault="008E74AE" w:rsidP="000A7638">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w:t>
      </w:r>
      <w:r w:rsidR="000B5303">
        <w:rPr>
          <w:rFonts w:ascii="黑体" w:eastAsia="黑体" w:hAnsi="黑体" w:hint="eastAsia"/>
          <w:sz w:val="32"/>
          <w:szCs w:val="32"/>
        </w:rPr>
        <w:t>基本案情</w:t>
      </w:r>
      <w:r>
        <w:rPr>
          <w:rFonts w:ascii="黑体" w:eastAsia="黑体" w:hAnsi="黑体" w:hint="eastAsia"/>
          <w:sz w:val="32"/>
          <w:szCs w:val="32"/>
        </w:rPr>
        <w:t>】</w:t>
      </w:r>
    </w:p>
    <w:p w:rsidR="004D4AF7" w:rsidRPr="005E1925" w:rsidRDefault="004D4AF7"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原告</w:t>
      </w:r>
      <w:r w:rsidR="006D7322" w:rsidRPr="005E1925">
        <w:rPr>
          <w:rFonts w:asciiTheme="minorEastAsia" w:eastAsiaTheme="minorEastAsia" w:hAnsiTheme="minorEastAsia" w:cs="宋体" w:hint="eastAsia"/>
          <w:color w:val="000000"/>
          <w:kern w:val="0"/>
          <w:sz w:val="28"/>
          <w:szCs w:val="32"/>
        </w:rPr>
        <w:t>海通证券股份有限公司</w:t>
      </w:r>
      <w:r w:rsidRPr="005E1925">
        <w:rPr>
          <w:rFonts w:asciiTheme="minorEastAsia" w:eastAsiaTheme="minorEastAsia" w:hAnsiTheme="minorEastAsia" w:cs="宋体" w:hint="eastAsia"/>
          <w:color w:val="000000"/>
          <w:kern w:val="0"/>
          <w:sz w:val="28"/>
          <w:szCs w:val="32"/>
        </w:rPr>
        <w:t>与被告</w:t>
      </w:r>
      <w:r w:rsidR="00854C65" w:rsidRPr="005E1925">
        <w:rPr>
          <w:rFonts w:asciiTheme="minorEastAsia" w:eastAsiaTheme="minorEastAsia" w:hAnsiTheme="minorEastAsia" w:cs="宋体" w:hint="eastAsia"/>
          <w:color w:val="000000"/>
          <w:kern w:val="0"/>
          <w:sz w:val="28"/>
          <w:szCs w:val="32"/>
        </w:rPr>
        <w:t>中国华力控股集团有限公司</w:t>
      </w:r>
      <w:r w:rsidRPr="005E1925">
        <w:rPr>
          <w:rFonts w:asciiTheme="minorEastAsia" w:eastAsiaTheme="minorEastAsia" w:hAnsiTheme="minorEastAsia" w:cs="宋体" w:hint="eastAsia"/>
          <w:color w:val="000000"/>
          <w:kern w:val="0"/>
          <w:sz w:val="28"/>
          <w:szCs w:val="32"/>
        </w:rPr>
        <w:t>、丁某山质押</w:t>
      </w:r>
      <w:proofErr w:type="gramStart"/>
      <w:r w:rsidRPr="005E1925">
        <w:rPr>
          <w:rFonts w:asciiTheme="minorEastAsia" w:eastAsiaTheme="minorEastAsia" w:hAnsiTheme="minorEastAsia" w:cs="宋体" w:hint="eastAsia"/>
          <w:color w:val="000000"/>
          <w:kern w:val="0"/>
          <w:sz w:val="28"/>
          <w:szCs w:val="32"/>
        </w:rPr>
        <w:t>式证券</w:t>
      </w:r>
      <w:proofErr w:type="gramEnd"/>
      <w:r w:rsidRPr="005E1925">
        <w:rPr>
          <w:rFonts w:asciiTheme="minorEastAsia" w:eastAsiaTheme="minorEastAsia" w:hAnsiTheme="minorEastAsia" w:cs="宋体" w:hint="eastAsia"/>
          <w:color w:val="000000"/>
          <w:kern w:val="0"/>
          <w:sz w:val="28"/>
          <w:szCs w:val="32"/>
        </w:rPr>
        <w:t>回购纠纷一案，上海金融法院</w:t>
      </w:r>
      <w:proofErr w:type="gramStart"/>
      <w:r w:rsidRPr="005E1925">
        <w:rPr>
          <w:rFonts w:asciiTheme="minorEastAsia" w:eastAsiaTheme="minorEastAsia" w:hAnsiTheme="minorEastAsia" w:cs="宋体" w:hint="eastAsia"/>
          <w:color w:val="000000"/>
          <w:kern w:val="0"/>
          <w:sz w:val="28"/>
          <w:szCs w:val="32"/>
        </w:rPr>
        <w:t>作出</w:t>
      </w:r>
      <w:proofErr w:type="gramEnd"/>
      <w:r w:rsidRPr="005E1925">
        <w:rPr>
          <w:rFonts w:asciiTheme="minorEastAsia" w:eastAsiaTheme="minorEastAsia" w:hAnsiTheme="minorEastAsia" w:cs="宋体" w:hint="eastAsia"/>
          <w:color w:val="000000"/>
          <w:kern w:val="0"/>
          <w:sz w:val="28"/>
          <w:szCs w:val="32"/>
        </w:rPr>
        <w:t>的（2019）沪74民初2103号民事调解书已经发生法律效力，因</w:t>
      </w:r>
      <w:r w:rsidR="00854C65" w:rsidRPr="005E1925">
        <w:rPr>
          <w:rFonts w:asciiTheme="minorEastAsia" w:eastAsiaTheme="minorEastAsia" w:hAnsiTheme="minorEastAsia" w:cs="宋体" w:hint="eastAsia"/>
          <w:color w:val="000000"/>
          <w:kern w:val="0"/>
          <w:sz w:val="28"/>
          <w:szCs w:val="32"/>
        </w:rPr>
        <w:t>中国华力控股集团有限公司</w:t>
      </w:r>
      <w:r w:rsidRPr="005E1925">
        <w:rPr>
          <w:rFonts w:asciiTheme="minorEastAsia" w:eastAsiaTheme="minorEastAsia" w:hAnsiTheme="minorEastAsia" w:cs="宋体" w:hint="eastAsia"/>
          <w:color w:val="000000"/>
          <w:kern w:val="0"/>
          <w:sz w:val="28"/>
          <w:szCs w:val="32"/>
        </w:rPr>
        <w:t>、丁某山均未按期履行义务，</w:t>
      </w:r>
      <w:r w:rsidR="00854C65" w:rsidRPr="005E1925">
        <w:rPr>
          <w:rFonts w:asciiTheme="minorEastAsia" w:eastAsiaTheme="minorEastAsia" w:hAnsiTheme="minorEastAsia" w:cs="宋体" w:hint="eastAsia"/>
          <w:color w:val="000000"/>
          <w:kern w:val="0"/>
          <w:sz w:val="28"/>
          <w:szCs w:val="32"/>
        </w:rPr>
        <w:t>海通证券股份有限公司</w:t>
      </w:r>
      <w:r w:rsidRPr="005E1925">
        <w:rPr>
          <w:rFonts w:asciiTheme="minorEastAsia" w:eastAsiaTheme="minorEastAsia" w:hAnsiTheme="minorEastAsia" w:cs="宋体" w:hint="eastAsia"/>
          <w:color w:val="000000"/>
          <w:kern w:val="0"/>
          <w:sz w:val="28"/>
          <w:szCs w:val="32"/>
        </w:rPr>
        <w:t>向上海金融法院申请强制执行</w:t>
      </w:r>
      <w:r w:rsidR="00034325" w:rsidRPr="005E1925">
        <w:rPr>
          <w:rFonts w:asciiTheme="minorEastAsia" w:eastAsiaTheme="minorEastAsia" w:hAnsiTheme="minorEastAsia" w:cs="宋体" w:hint="eastAsia"/>
          <w:color w:val="000000"/>
          <w:kern w:val="0"/>
          <w:sz w:val="28"/>
          <w:szCs w:val="32"/>
        </w:rPr>
        <w:t>。</w:t>
      </w:r>
      <w:r w:rsidRPr="005E1925">
        <w:rPr>
          <w:rFonts w:asciiTheme="minorEastAsia" w:eastAsiaTheme="minorEastAsia" w:hAnsiTheme="minorEastAsia" w:cs="宋体" w:hint="eastAsia"/>
          <w:color w:val="000000"/>
          <w:kern w:val="0"/>
          <w:sz w:val="28"/>
          <w:szCs w:val="32"/>
        </w:rPr>
        <w:t>执行中，上海金融法院对</w:t>
      </w:r>
      <w:r w:rsidR="00854C65" w:rsidRPr="005E1925">
        <w:rPr>
          <w:rFonts w:asciiTheme="minorEastAsia" w:eastAsiaTheme="minorEastAsia" w:hAnsiTheme="minorEastAsia" w:cs="宋体" w:hint="eastAsia"/>
          <w:color w:val="000000"/>
          <w:kern w:val="0"/>
          <w:sz w:val="28"/>
          <w:szCs w:val="32"/>
        </w:rPr>
        <w:t>被执行人中国华力控股集团有限公司</w:t>
      </w:r>
      <w:r w:rsidRPr="005E1925">
        <w:rPr>
          <w:rFonts w:asciiTheme="minorEastAsia" w:eastAsiaTheme="minorEastAsia" w:hAnsiTheme="minorEastAsia" w:cs="宋体" w:hint="eastAsia"/>
          <w:color w:val="000000"/>
          <w:kern w:val="0"/>
          <w:sz w:val="28"/>
          <w:szCs w:val="32"/>
        </w:rPr>
        <w:t>持有的</w:t>
      </w:r>
      <w:r w:rsidR="00041E79" w:rsidRPr="005E1925">
        <w:rPr>
          <w:rFonts w:asciiTheme="minorEastAsia" w:eastAsiaTheme="minorEastAsia" w:hAnsiTheme="minorEastAsia" w:cs="宋体" w:hint="eastAsia"/>
          <w:color w:val="000000"/>
          <w:kern w:val="0"/>
          <w:sz w:val="28"/>
          <w:szCs w:val="32"/>
        </w:rPr>
        <w:t>“北京文化”（证券代码：000802）</w:t>
      </w:r>
      <w:r w:rsidRPr="005E1925">
        <w:rPr>
          <w:rFonts w:asciiTheme="minorEastAsia" w:eastAsiaTheme="minorEastAsia" w:hAnsiTheme="minorEastAsia" w:cs="宋体" w:hint="eastAsia"/>
          <w:color w:val="000000"/>
          <w:kern w:val="0"/>
          <w:sz w:val="28"/>
          <w:szCs w:val="32"/>
        </w:rPr>
        <w:t>无限</w:t>
      </w:r>
      <w:proofErr w:type="gramStart"/>
      <w:r w:rsidRPr="005E1925">
        <w:rPr>
          <w:rFonts w:asciiTheme="minorEastAsia" w:eastAsiaTheme="minorEastAsia" w:hAnsiTheme="minorEastAsia" w:cs="宋体" w:hint="eastAsia"/>
          <w:color w:val="000000"/>
          <w:kern w:val="0"/>
          <w:sz w:val="28"/>
          <w:szCs w:val="32"/>
        </w:rPr>
        <w:t>售流通</w:t>
      </w:r>
      <w:proofErr w:type="gramEnd"/>
      <w:r w:rsidRPr="005E1925">
        <w:rPr>
          <w:rFonts w:asciiTheme="minorEastAsia" w:eastAsiaTheme="minorEastAsia" w:hAnsiTheme="minorEastAsia" w:cs="宋体" w:hint="eastAsia"/>
          <w:color w:val="000000"/>
          <w:kern w:val="0"/>
          <w:sz w:val="28"/>
          <w:szCs w:val="32"/>
        </w:rPr>
        <w:t>股27,236,814股股票依法启动评估拍卖程序。在评估拍卖程序中，意向竞买人</w:t>
      </w:r>
      <w:r w:rsidR="004E5CCC" w:rsidRPr="005E1925">
        <w:rPr>
          <w:rFonts w:asciiTheme="minorEastAsia" w:eastAsiaTheme="minorEastAsia" w:hAnsiTheme="minorEastAsia" w:cs="宋体" w:hint="eastAsia"/>
          <w:color w:val="000000"/>
          <w:kern w:val="0"/>
          <w:sz w:val="28"/>
          <w:szCs w:val="32"/>
        </w:rPr>
        <w:t>某资产</w:t>
      </w:r>
      <w:r w:rsidR="00B72158" w:rsidRPr="005E1925">
        <w:rPr>
          <w:rFonts w:asciiTheme="minorEastAsia" w:eastAsiaTheme="minorEastAsia" w:hAnsiTheme="minorEastAsia" w:cs="宋体" w:hint="eastAsia"/>
          <w:color w:val="000000"/>
          <w:kern w:val="0"/>
          <w:sz w:val="28"/>
          <w:szCs w:val="32"/>
        </w:rPr>
        <w:t>管理公司向法</w:t>
      </w:r>
      <w:r w:rsidRPr="005E1925">
        <w:rPr>
          <w:rFonts w:asciiTheme="minorEastAsia" w:eastAsiaTheme="minorEastAsia" w:hAnsiTheme="minorEastAsia" w:cs="宋体" w:hint="eastAsia"/>
          <w:color w:val="000000"/>
          <w:kern w:val="0"/>
          <w:sz w:val="28"/>
          <w:szCs w:val="32"/>
        </w:rPr>
        <w:t>院提出申请，其作为管理人拟代表</w:t>
      </w:r>
      <w:r w:rsidR="004E5CCC" w:rsidRPr="005E1925">
        <w:rPr>
          <w:rFonts w:asciiTheme="minorEastAsia" w:eastAsiaTheme="minorEastAsia" w:hAnsiTheme="minorEastAsia" w:cs="宋体" w:hint="eastAsia"/>
          <w:color w:val="000000"/>
          <w:kern w:val="0"/>
          <w:sz w:val="28"/>
          <w:szCs w:val="32"/>
        </w:rPr>
        <w:t>“某</w:t>
      </w:r>
      <w:r w:rsidRPr="005E1925">
        <w:rPr>
          <w:rFonts w:asciiTheme="minorEastAsia" w:eastAsiaTheme="minorEastAsia" w:hAnsiTheme="minorEastAsia" w:cs="宋体" w:hint="eastAsia"/>
          <w:color w:val="000000"/>
          <w:kern w:val="0"/>
          <w:sz w:val="28"/>
          <w:szCs w:val="32"/>
        </w:rPr>
        <w:t>资产管理计划”参与本次竞买。</w:t>
      </w:r>
      <w:r w:rsidR="004E5CCC" w:rsidRPr="005E1925">
        <w:rPr>
          <w:rFonts w:asciiTheme="minorEastAsia" w:eastAsiaTheme="minorEastAsia" w:hAnsiTheme="minorEastAsia" w:cs="宋体" w:hint="eastAsia"/>
          <w:color w:val="000000"/>
          <w:kern w:val="0"/>
          <w:sz w:val="28"/>
          <w:szCs w:val="32"/>
        </w:rPr>
        <w:t>法院</w:t>
      </w:r>
      <w:r w:rsidRPr="005E1925">
        <w:rPr>
          <w:rFonts w:asciiTheme="minorEastAsia" w:eastAsiaTheme="minorEastAsia" w:hAnsiTheme="minorEastAsia" w:cs="宋体" w:hint="eastAsia"/>
          <w:color w:val="000000"/>
          <w:kern w:val="0"/>
          <w:sz w:val="28"/>
          <w:szCs w:val="32"/>
        </w:rPr>
        <w:t>经审查认为，虽然</w:t>
      </w:r>
      <w:proofErr w:type="gramStart"/>
      <w:r w:rsidRPr="005E1925">
        <w:rPr>
          <w:rFonts w:asciiTheme="minorEastAsia" w:eastAsiaTheme="minorEastAsia" w:hAnsiTheme="minorEastAsia" w:cs="宋体" w:hint="eastAsia"/>
          <w:color w:val="000000"/>
          <w:kern w:val="0"/>
          <w:sz w:val="28"/>
          <w:szCs w:val="32"/>
        </w:rPr>
        <w:t>资管计划</w:t>
      </w:r>
      <w:proofErr w:type="gramEnd"/>
      <w:r w:rsidRPr="005E1925">
        <w:rPr>
          <w:rFonts w:asciiTheme="minorEastAsia" w:eastAsiaTheme="minorEastAsia" w:hAnsiTheme="minorEastAsia" w:cs="宋体" w:hint="eastAsia"/>
          <w:color w:val="000000"/>
          <w:kern w:val="0"/>
          <w:sz w:val="28"/>
          <w:szCs w:val="32"/>
        </w:rPr>
        <w:t>本身不能成为民事法律关系</w:t>
      </w:r>
      <w:proofErr w:type="gramStart"/>
      <w:r w:rsidRPr="005E1925">
        <w:rPr>
          <w:rFonts w:asciiTheme="minorEastAsia" w:eastAsiaTheme="minorEastAsia" w:hAnsiTheme="minorEastAsia" w:cs="宋体" w:hint="eastAsia"/>
          <w:color w:val="000000"/>
          <w:kern w:val="0"/>
          <w:sz w:val="28"/>
          <w:szCs w:val="32"/>
        </w:rPr>
        <w:t>的适格主体</w:t>
      </w:r>
      <w:proofErr w:type="gramEnd"/>
      <w:r w:rsidRPr="005E1925">
        <w:rPr>
          <w:rFonts w:asciiTheme="minorEastAsia" w:eastAsiaTheme="minorEastAsia" w:hAnsiTheme="minorEastAsia" w:cs="宋体" w:hint="eastAsia"/>
          <w:color w:val="000000"/>
          <w:kern w:val="0"/>
          <w:sz w:val="28"/>
          <w:szCs w:val="32"/>
        </w:rPr>
        <w:t>，但是可以由管理人以管理人名义参与竞买，竞买成功后可将处置股票过户到</w:t>
      </w:r>
      <w:proofErr w:type="gramStart"/>
      <w:r w:rsidRPr="005E1925">
        <w:rPr>
          <w:rFonts w:asciiTheme="minorEastAsia" w:eastAsiaTheme="minorEastAsia" w:hAnsiTheme="minorEastAsia" w:cs="宋体" w:hint="eastAsia"/>
          <w:color w:val="000000"/>
          <w:kern w:val="0"/>
          <w:sz w:val="28"/>
          <w:szCs w:val="32"/>
        </w:rPr>
        <w:t>资管计划</w:t>
      </w:r>
      <w:proofErr w:type="gramEnd"/>
      <w:r w:rsidRPr="005E1925">
        <w:rPr>
          <w:rFonts w:asciiTheme="minorEastAsia" w:eastAsiaTheme="minorEastAsia" w:hAnsiTheme="minorEastAsia" w:cs="宋体" w:hint="eastAsia"/>
          <w:color w:val="000000"/>
          <w:kern w:val="0"/>
          <w:sz w:val="28"/>
          <w:szCs w:val="32"/>
        </w:rPr>
        <w:t>专用证券账户中。在这过程中</w:t>
      </w:r>
      <w:proofErr w:type="gramStart"/>
      <w:r w:rsidRPr="005E1925">
        <w:rPr>
          <w:rFonts w:asciiTheme="minorEastAsia" w:eastAsiaTheme="minorEastAsia" w:hAnsiTheme="minorEastAsia" w:cs="宋体" w:hint="eastAsia"/>
          <w:color w:val="000000"/>
          <w:kern w:val="0"/>
          <w:sz w:val="28"/>
          <w:szCs w:val="32"/>
        </w:rPr>
        <w:t>当严格</w:t>
      </w:r>
      <w:proofErr w:type="gramEnd"/>
      <w:r w:rsidRPr="005E1925">
        <w:rPr>
          <w:rFonts w:asciiTheme="minorEastAsia" w:eastAsiaTheme="minorEastAsia" w:hAnsiTheme="minorEastAsia" w:cs="宋体" w:hint="eastAsia"/>
          <w:color w:val="000000"/>
          <w:kern w:val="0"/>
          <w:sz w:val="28"/>
          <w:szCs w:val="32"/>
        </w:rPr>
        <w:t>审查管理人参与竞买的资金来源，管理人负有披露资金来源的义务，确保管理人竞买的资金来源于</w:t>
      </w:r>
      <w:proofErr w:type="gramStart"/>
      <w:r w:rsidRPr="005E1925">
        <w:rPr>
          <w:rFonts w:asciiTheme="minorEastAsia" w:eastAsiaTheme="minorEastAsia" w:hAnsiTheme="minorEastAsia" w:cs="宋体" w:hint="eastAsia"/>
          <w:color w:val="000000"/>
          <w:kern w:val="0"/>
          <w:sz w:val="28"/>
          <w:szCs w:val="32"/>
        </w:rPr>
        <w:t>该资管</w:t>
      </w:r>
      <w:proofErr w:type="gramEnd"/>
      <w:r w:rsidRPr="005E1925">
        <w:rPr>
          <w:rFonts w:asciiTheme="minorEastAsia" w:eastAsiaTheme="minorEastAsia" w:hAnsiTheme="minorEastAsia" w:cs="宋体" w:hint="eastAsia"/>
          <w:color w:val="000000"/>
          <w:kern w:val="0"/>
          <w:sz w:val="28"/>
          <w:szCs w:val="32"/>
        </w:rPr>
        <w:t>计划。</w:t>
      </w:r>
    </w:p>
    <w:p w:rsidR="000B5303" w:rsidRPr="005E1925" w:rsidRDefault="00041E79"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经上海金融法院</w:t>
      </w:r>
      <w:r w:rsidR="004D4AF7" w:rsidRPr="005E1925">
        <w:rPr>
          <w:rFonts w:asciiTheme="minorEastAsia" w:eastAsiaTheme="minorEastAsia" w:hAnsiTheme="minorEastAsia" w:cs="宋体" w:hint="eastAsia"/>
          <w:color w:val="000000"/>
          <w:kern w:val="0"/>
          <w:sz w:val="28"/>
          <w:szCs w:val="32"/>
        </w:rPr>
        <w:t>同意，意向竞买人</w:t>
      </w:r>
      <w:r w:rsidR="004E5CCC" w:rsidRPr="005E1925">
        <w:rPr>
          <w:rFonts w:asciiTheme="minorEastAsia" w:eastAsiaTheme="minorEastAsia" w:hAnsiTheme="minorEastAsia" w:cs="宋体" w:hint="eastAsia"/>
          <w:color w:val="000000"/>
          <w:kern w:val="0"/>
          <w:sz w:val="28"/>
          <w:szCs w:val="32"/>
        </w:rPr>
        <w:t>某资产管理</w:t>
      </w:r>
      <w:r w:rsidR="004D4AF7" w:rsidRPr="005E1925">
        <w:rPr>
          <w:rFonts w:asciiTheme="minorEastAsia" w:eastAsiaTheme="minorEastAsia" w:hAnsiTheme="minorEastAsia" w:cs="宋体" w:hint="eastAsia"/>
          <w:color w:val="000000"/>
          <w:kern w:val="0"/>
          <w:sz w:val="28"/>
          <w:szCs w:val="32"/>
        </w:rPr>
        <w:t>公司在交纳保证金后参与本次司法拍卖，最终由于其他竞买人出价更高，</w:t>
      </w:r>
      <w:proofErr w:type="gramStart"/>
      <w:r w:rsidR="004D4AF7" w:rsidRPr="005E1925">
        <w:rPr>
          <w:rFonts w:asciiTheme="minorEastAsia" w:eastAsiaTheme="minorEastAsia" w:hAnsiTheme="minorEastAsia" w:cs="宋体" w:hint="eastAsia"/>
          <w:color w:val="000000"/>
          <w:kern w:val="0"/>
          <w:sz w:val="28"/>
          <w:szCs w:val="32"/>
        </w:rPr>
        <w:t>该待处置</w:t>
      </w:r>
      <w:proofErr w:type="gramEnd"/>
      <w:r w:rsidR="004D4AF7" w:rsidRPr="005E1925">
        <w:rPr>
          <w:rFonts w:asciiTheme="minorEastAsia" w:eastAsiaTheme="minorEastAsia" w:hAnsiTheme="minorEastAsia" w:cs="宋体" w:hint="eastAsia"/>
          <w:color w:val="000000"/>
          <w:kern w:val="0"/>
          <w:sz w:val="28"/>
          <w:szCs w:val="32"/>
        </w:rPr>
        <w:t>股票由他人竞拍成功。</w:t>
      </w:r>
    </w:p>
    <w:p w:rsidR="000D1301" w:rsidRPr="005E1925" w:rsidRDefault="000D1301"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0D1301" w:rsidRPr="007002AD" w:rsidRDefault="000D1301" w:rsidP="000D1301">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【专家点评】</w:t>
      </w:r>
    </w:p>
    <w:p w:rsidR="000D1301" w:rsidRPr="005E1925" w:rsidRDefault="000D1301" w:rsidP="005E1925">
      <w:pPr>
        <w:widowControl/>
        <w:spacing w:line="560" w:lineRule="exact"/>
        <w:ind w:firstLineChars="200" w:firstLine="560"/>
        <w:rPr>
          <w:rFonts w:ascii="黑体" w:eastAsia="黑体" w:hAnsi="黑体"/>
          <w:color w:val="000000"/>
          <w:kern w:val="0"/>
          <w:sz w:val="28"/>
          <w:szCs w:val="32"/>
        </w:rPr>
      </w:pPr>
      <w:r w:rsidRPr="005E1925">
        <w:rPr>
          <w:rFonts w:ascii="黑体" w:eastAsia="黑体" w:hAnsi="黑体" w:hint="eastAsia"/>
          <w:color w:val="000000"/>
          <w:kern w:val="0"/>
          <w:sz w:val="28"/>
          <w:szCs w:val="32"/>
        </w:rPr>
        <w:t>点评人：吴弘，华东政法大学教授</w:t>
      </w:r>
    </w:p>
    <w:p w:rsidR="005B2F8A" w:rsidRPr="005E1925" w:rsidRDefault="005B2F8A" w:rsidP="005E1925">
      <w:pPr>
        <w:widowControl/>
        <w:spacing w:line="560" w:lineRule="exact"/>
        <w:ind w:firstLineChars="200" w:firstLine="560"/>
        <w:rPr>
          <w:rFonts w:ascii="仿宋_GB2312" w:eastAsia="仿宋_GB2312" w:hAnsi="宋体"/>
          <w:b/>
          <w:color w:val="000000"/>
          <w:kern w:val="0"/>
          <w:sz w:val="28"/>
          <w:szCs w:val="32"/>
        </w:rPr>
      </w:pPr>
    </w:p>
    <w:p w:rsidR="000D1301" w:rsidRPr="005E1925" w:rsidRDefault="000D1301"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本案的执行涉及“资管计划”项下资产独立性的问题。基于认识尚不统一和管理体制的原因，目前对资产管理关系的法律性质未作明确定论，但不论监管规则还是市场实践，</w:t>
      </w:r>
      <w:proofErr w:type="gramStart"/>
      <w:r w:rsidRPr="005E1925">
        <w:rPr>
          <w:rFonts w:asciiTheme="minorEastAsia" w:eastAsiaTheme="minorEastAsia" w:hAnsiTheme="minorEastAsia" w:cs="宋体" w:hint="eastAsia"/>
          <w:color w:val="000000"/>
          <w:kern w:val="0"/>
          <w:sz w:val="28"/>
          <w:szCs w:val="32"/>
        </w:rPr>
        <w:t>大部分资管关系</w:t>
      </w:r>
      <w:proofErr w:type="gramEnd"/>
      <w:r w:rsidRPr="005E1925">
        <w:rPr>
          <w:rFonts w:asciiTheme="minorEastAsia" w:eastAsiaTheme="minorEastAsia" w:hAnsiTheme="minorEastAsia" w:cs="宋体" w:hint="eastAsia"/>
          <w:color w:val="000000"/>
          <w:kern w:val="0"/>
          <w:sz w:val="28"/>
          <w:szCs w:val="32"/>
        </w:rPr>
        <w:t>都是按信托原理设计、运行和规范的，当然也存在少部分按委托代理的方式运作的例子。</w:t>
      </w:r>
    </w:p>
    <w:p w:rsidR="000D1301" w:rsidRPr="005E1925" w:rsidRDefault="000D1301"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若是委托代理，则“资管计划”项下资产归委托人全权所有的性质始终不变，受托管理人只能根据委托、以委托人的名义进行管理。但若按信托运行，则“资管计划”项下资产的权利就要从委托人处转移至受托人处，成为独立的财产，由受托人以自己的名义全权管理、运用、处分。“资管计划”项下资产虽是独立的，但并无主体身份，这部分财产也不属于受托人，必须与受托人自身固有财产相分离，其运用处分的结果仍应归属于“资管计划”并最终分配给委托人。</w:t>
      </w:r>
    </w:p>
    <w:p w:rsidR="000D1301" w:rsidRPr="005E1925" w:rsidRDefault="000D1301"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本案执行过程中从实际情况出发，遵循信托原理进行分析、</w:t>
      </w:r>
      <w:proofErr w:type="gramStart"/>
      <w:r w:rsidRPr="005E1925">
        <w:rPr>
          <w:rFonts w:asciiTheme="minorEastAsia" w:eastAsiaTheme="minorEastAsia" w:hAnsiTheme="minorEastAsia" w:cs="宋体" w:hint="eastAsia"/>
          <w:color w:val="000000"/>
          <w:kern w:val="0"/>
          <w:sz w:val="28"/>
          <w:szCs w:val="32"/>
        </w:rPr>
        <w:t>研</w:t>
      </w:r>
      <w:proofErr w:type="gramEnd"/>
      <w:r w:rsidRPr="005E1925">
        <w:rPr>
          <w:rFonts w:asciiTheme="minorEastAsia" w:eastAsiaTheme="minorEastAsia" w:hAnsiTheme="minorEastAsia" w:cs="宋体" w:hint="eastAsia"/>
          <w:color w:val="000000"/>
          <w:kern w:val="0"/>
          <w:sz w:val="28"/>
          <w:szCs w:val="32"/>
        </w:rPr>
        <w:t>判和处理，也符合相关制度的规定。</w:t>
      </w:r>
    </w:p>
    <w:p w:rsidR="000D1301" w:rsidRPr="005E1925" w:rsidRDefault="000D1301"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0D1301" w:rsidRDefault="000D1301" w:rsidP="004D4AF7">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4D4AF7">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4D4AF7">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4D4AF7">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4D4AF7">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4D4AF7">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4D4AF7">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Pr="005B2F8A" w:rsidRDefault="002C2B26" w:rsidP="004D4AF7">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711AC7" w:rsidRPr="005E1925" w:rsidRDefault="00CC730E" w:rsidP="005E1925">
      <w:pPr>
        <w:widowControl/>
        <w:jc w:val="center"/>
        <w:rPr>
          <w:rFonts w:ascii="黑体" w:eastAsia="黑体" w:hAnsi="黑体"/>
          <w:color w:val="000000"/>
          <w:kern w:val="0"/>
          <w:sz w:val="32"/>
          <w:szCs w:val="36"/>
        </w:rPr>
      </w:pPr>
      <w:r w:rsidRPr="005E1925">
        <w:rPr>
          <w:rFonts w:ascii="黑体" w:eastAsia="黑体" w:hAnsi="黑体" w:hint="eastAsia"/>
          <w:color w:val="000000"/>
          <w:kern w:val="0"/>
          <w:sz w:val="32"/>
          <w:szCs w:val="36"/>
        </w:rPr>
        <w:t>共同保险中出</w:t>
      </w:r>
      <w:proofErr w:type="gramStart"/>
      <w:r w:rsidRPr="005E1925">
        <w:rPr>
          <w:rFonts w:ascii="黑体" w:eastAsia="黑体" w:hAnsi="黑体" w:hint="eastAsia"/>
          <w:color w:val="000000"/>
          <w:kern w:val="0"/>
          <w:sz w:val="32"/>
          <w:szCs w:val="36"/>
        </w:rPr>
        <w:t>单公司</w:t>
      </w:r>
      <w:proofErr w:type="gramEnd"/>
      <w:r w:rsidRPr="005E1925">
        <w:rPr>
          <w:rFonts w:ascii="黑体" w:eastAsia="黑体" w:hAnsi="黑体" w:hint="eastAsia"/>
          <w:color w:val="000000"/>
          <w:kern w:val="0"/>
          <w:sz w:val="32"/>
          <w:szCs w:val="36"/>
        </w:rPr>
        <w:t>违法对外赔付的赔偿责任</w:t>
      </w:r>
    </w:p>
    <w:p w:rsidR="0033580E" w:rsidRPr="005E1925" w:rsidRDefault="00CC730E" w:rsidP="0033580E">
      <w:pPr>
        <w:widowControl/>
        <w:spacing w:line="560" w:lineRule="exact"/>
        <w:jc w:val="center"/>
        <w:rPr>
          <w:rFonts w:asciiTheme="minorEastAsia" w:eastAsiaTheme="minorEastAsia" w:hAnsiTheme="minorEastAsia" w:cs="宋体"/>
          <w:color w:val="000000"/>
          <w:kern w:val="0"/>
          <w:sz w:val="28"/>
          <w:szCs w:val="32"/>
        </w:rPr>
      </w:pPr>
      <w:r>
        <w:rPr>
          <w:rFonts w:ascii="仿宋_GB2312" w:eastAsia="仿宋_GB2312" w:hAnsi="宋体" w:hint="eastAsia"/>
          <w:color w:val="000000"/>
          <w:kern w:val="0"/>
          <w:sz w:val="32"/>
          <w:szCs w:val="32"/>
        </w:rPr>
        <w:t>——</w:t>
      </w:r>
      <w:r w:rsidR="0033580E" w:rsidRPr="005E1925">
        <w:rPr>
          <w:rFonts w:asciiTheme="minorEastAsia" w:eastAsiaTheme="minorEastAsia" w:hAnsiTheme="minorEastAsia" w:cs="宋体" w:hint="eastAsia"/>
          <w:color w:val="000000"/>
          <w:kern w:val="0"/>
          <w:sz w:val="28"/>
          <w:szCs w:val="32"/>
        </w:rPr>
        <w:t>上诉人中国人民财产保险股份有限公司上海市分公司与被上诉人中国平安财产保险股份有限公司上海分公司责任保险合同纠纷案</w:t>
      </w:r>
    </w:p>
    <w:p w:rsidR="00CC730E" w:rsidRDefault="00CC730E" w:rsidP="00CC730E">
      <w:pPr>
        <w:widowControl/>
        <w:spacing w:line="560" w:lineRule="exact"/>
        <w:jc w:val="center"/>
        <w:rPr>
          <w:rFonts w:ascii="仿宋_GB2312" w:eastAsia="仿宋_GB2312" w:hAnsi="宋体"/>
          <w:color w:val="000000"/>
          <w:kern w:val="0"/>
          <w:sz w:val="32"/>
          <w:szCs w:val="32"/>
        </w:rPr>
      </w:pPr>
    </w:p>
    <w:p w:rsidR="00CC730E" w:rsidRPr="007002AD" w:rsidRDefault="000D1301" w:rsidP="00CC730E">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w:t>
      </w:r>
      <w:r w:rsidR="00CC730E">
        <w:rPr>
          <w:rFonts w:ascii="黑体" w:eastAsia="黑体" w:hAnsi="黑体" w:hint="eastAsia"/>
          <w:sz w:val="32"/>
          <w:szCs w:val="32"/>
        </w:rPr>
        <w:t>基本案情</w:t>
      </w:r>
      <w:r>
        <w:rPr>
          <w:rFonts w:ascii="黑体" w:eastAsia="黑体" w:hAnsi="黑体" w:hint="eastAsia"/>
          <w:sz w:val="32"/>
          <w:szCs w:val="32"/>
        </w:rPr>
        <w:t>】</w:t>
      </w:r>
    </w:p>
    <w:p w:rsidR="00CC730E" w:rsidRPr="005E1925" w:rsidRDefault="00187930"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中国人民财产保险股份有限公司上海市分公司（以下人保上海分公司）</w:t>
      </w:r>
      <w:r w:rsidR="00546D6C" w:rsidRPr="005E1925">
        <w:rPr>
          <w:rFonts w:asciiTheme="minorEastAsia" w:eastAsiaTheme="minorEastAsia" w:hAnsiTheme="minorEastAsia" w:cs="宋体" w:hint="eastAsia"/>
          <w:color w:val="000000"/>
          <w:kern w:val="0"/>
          <w:sz w:val="28"/>
          <w:szCs w:val="32"/>
        </w:rPr>
        <w:t>、</w:t>
      </w:r>
      <w:r w:rsidRPr="005E1925">
        <w:rPr>
          <w:rFonts w:asciiTheme="minorEastAsia" w:eastAsiaTheme="minorEastAsia" w:hAnsiTheme="minorEastAsia" w:cs="宋体" w:hint="eastAsia"/>
          <w:color w:val="000000"/>
          <w:kern w:val="0"/>
          <w:sz w:val="28"/>
          <w:szCs w:val="32"/>
        </w:rPr>
        <w:t>中国平安财产保险股份有限公司上海分公司（以下简称平安上海分公司）</w:t>
      </w:r>
      <w:r w:rsidR="00CC730E" w:rsidRPr="005E1925">
        <w:rPr>
          <w:rFonts w:asciiTheme="minorEastAsia" w:eastAsiaTheme="minorEastAsia" w:hAnsiTheme="minorEastAsia" w:cs="宋体" w:hint="eastAsia"/>
          <w:color w:val="000000"/>
          <w:kern w:val="0"/>
          <w:sz w:val="28"/>
          <w:szCs w:val="32"/>
        </w:rPr>
        <w:t>及案外人</w:t>
      </w:r>
      <w:r w:rsidRPr="005E1925">
        <w:rPr>
          <w:rFonts w:asciiTheme="minorEastAsia" w:eastAsiaTheme="minorEastAsia" w:hAnsiTheme="minorEastAsia" w:cs="宋体" w:hint="eastAsia"/>
          <w:color w:val="000000"/>
          <w:kern w:val="0"/>
          <w:sz w:val="28"/>
          <w:szCs w:val="32"/>
        </w:rPr>
        <w:t>中国太平洋财产保险股份有限公司上海市分公司（以下简称太平洋财险上海分公司）</w:t>
      </w:r>
      <w:r w:rsidR="00CC730E" w:rsidRPr="005E1925">
        <w:rPr>
          <w:rFonts w:asciiTheme="minorEastAsia" w:eastAsiaTheme="minorEastAsia" w:hAnsiTheme="minorEastAsia" w:cs="宋体" w:hint="eastAsia"/>
          <w:color w:val="000000"/>
          <w:kern w:val="0"/>
          <w:sz w:val="28"/>
          <w:szCs w:val="32"/>
        </w:rPr>
        <w:t>签订《共保协议书》，约定：</w:t>
      </w:r>
      <w:proofErr w:type="gramStart"/>
      <w:r w:rsidR="00CC730E" w:rsidRPr="005E1925">
        <w:rPr>
          <w:rFonts w:asciiTheme="minorEastAsia" w:eastAsiaTheme="minorEastAsia" w:hAnsiTheme="minorEastAsia" w:cs="宋体" w:hint="eastAsia"/>
          <w:color w:val="000000"/>
          <w:kern w:val="0"/>
          <w:sz w:val="28"/>
          <w:szCs w:val="32"/>
        </w:rPr>
        <w:t>共保险</w:t>
      </w:r>
      <w:proofErr w:type="gramEnd"/>
      <w:r w:rsidR="00CC730E" w:rsidRPr="005E1925">
        <w:rPr>
          <w:rFonts w:asciiTheme="minorEastAsia" w:eastAsiaTheme="minorEastAsia" w:hAnsiTheme="minorEastAsia" w:cs="宋体" w:hint="eastAsia"/>
          <w:color w:val="000000"/>
          <w:kern w:val="0"/>
          <w:sz w:val="28"/>
          <w:szCs w:val="32"/>
        </w:rPr>
        <w:t>种为上海市道路客运承运人责任保险，</w:t>
      </w:r>
      <w:r w:rsidRPr="005E1925">
        <w:rPr>
          <w:rFonts w:asciiTheme="minorEastAsia" w:eastAsiaTheme="minorEastAsia" w:hAnsiTheme="minorEastAsia" w:cs="宋体" w:hint="eastAsia"/>
          <w:color w:val="000000"/>
          <w:kern w:val="0"/>
          <w:sz w:val="28"/>
          <w:szCs w:val="32"/>
        </w:rPr>
        <w:t>人保上海分公司</w:t>
      </w:r>
      <w:r w:rsidR="00CC730E" w:rsidRPr="005E1925">
        <w:rPr>
          <w:rFonts w:asciiTheme="minorEastAsia" w:eastAsiaTheme="minorEastAsia" w:hAnsiTheme="minorEastAsia" w:cs="宋体" w:hint="eastAsia"/>
          <w:color w:val="000000"/>
          <w:kern w:val="0"/>
          <w:sz w:val="28"/>
          <w:szCs w:val="32"/>
        </w:rPr>
        <w:t>承保50%，为主承保人，</w:t>
      </w:r>
      <w:r w:rsidRPr="005E1925">
        <w:rPr>
          <w:rFonts w:asciiTheme="minorEastAsia" w:eastAsiaTheme="minorEastAsia" w:hAnsiTheme="minorEastAsia" w:cs="宋体" w:hint="eastAsia"/>
          <w:color w:val="000000"/>
          <w:kern w:val="0"/>
          <w:sz w:val="28"/>
          <w:szCs w:val="32"/>
        </w:rPr>
        <w:t>平安上海分公司</w:t>
      </w:r>
      <w:r w:rsidR="00CC730E" w:rsidRPr="005E1925">
        <w:rPr>
          <w:rFonts w:asciiTheme="minorEastAsia" w:eastAsiaTheme="minorEastAsia" w:hAnsiTheme="minorEastAsia" w:cs="宋体" w:hint="eastAsia"/>
          <w:color w:val="000000"/>
          <w:kern w:val="0"/>
          <w:sz w:val="28"/>
          <w:szCs w:val="32"/>
        </w:rPr>
        <w:t>和</w:t>
      </w:r>
      <w:r w:rsidRPr="005E1925">
        <w:rPr>
          <w:rFonts w:asciiTheme="minorEastAsia" w:eastAsiaTheme="minorEastAsia" w:hAnsiTheme="minorEastAsia" w:cs="宋体" w:hint="eastAsia"/>
          <w:color w:val="000000"/>
          <w:kern w:val="0"/>
          <w:sz w:val="28"/>
          <w:szCs w:val="32"/>
        </w:rPr>
        <w:t>太平洋财险上海分公司</w:t>
      </w:r>
      <w:r w:rsidR="00CC730E" w:rsidRPr="005E1925">
        <w:rPr>
          <w:rFonts w:asciiTheme="minorEastAsia" w:eastAsiaTheme="minorEastAsia" w:hAnsiTheme="minorEastAsia" w:cs="宋体" w:hint="eastAsia"/>
          <w:color w:val="000000"/>
          <w:kern w:val="0"/>
          <w:sz w:val="28"/>
          <w:szCs w:val="32"/>
        </w:rPr>
        <w:t>各承保25%，</w:t>
      </w:r>
      <w:proofErr w:type="gramStart"/>
      <w:r w:rsidR="00CC730E" w:rsidRPr="005E1925">
        <w:rPr>
          <w:rFonts w:asciiTheme="minorEastAsia" w:eastAsiaTheme="minorEastAsia" w:hAnsiTheme="minorEastAsia" w:cs="宋体" w:hint="eastAsia"/>
          <w:color w:val="000000"/>
          <w:kern w:val="0"/>
          <w:sz w:val="28"/>
          <w:szCs w:val="32"/>
        </w:rPr>
        <w:t>为副承保人</w:t>
      </w:r>
      <w:proofErr w:type="gramEnd"/>
      <w:r w:rsidR="00CC730E" w:rsidRPr="005E1925">
        <w:rPr>
          <w:rFonts w:asciiTheme="minorEastAsia" w:eastAsiaTheme="minorEastAsia" w:hAnsiTheme="minorEastAsia" w:cs="宋体" w:hint="eastAsia"/>
          <w:color w:val="000000"/>
          <w:kern w:val="0"/>
          <w:sz w:val="28"/>
          <w:szCs w:val="32"/>
        </w:rPr>
        <w:t>；出</w:t>
      </w:r>
      <w:proofErr w:type="gramStart"/>
      <w:r w:rsidR="00CC730E" w:rsidRPr="005E1925">
        <w:rPr>
          <w:rFonts w:asciiTheme="minorEastAsia" w:eastAsiaTheme="minorEastAsia" w:hAnsiTheme="minorEastAsia" w:cs="宋体" w:hint="eastAsia"/>
          <w:color w:val="000000"/>
          <w:kern w:val="0"/>
          <w:sz w:val="28"/>
          <w:szCs w:val="32"/>
        </w:rPr>
        <w:t>单公司</w:t>
      </w:r>
      <w:proofErr w:type="gramEnd"/>
      <w:r w:rsidR="00CC730E" w:rsidRPr="005E1925">
        <w:rPr>
          <w:rFonts w:asciiTheme="minorEastAsia" w:eastAsiaTheme="minorEastAsia" w:hAnsiTheme="minorEastAsia" w:cs="宋体" w:hint="eastAsia"/>
          <w:color w:val="000000"/>
          <w:kern w:val="0"/>
          <w:sz w:val="28"/>
          <w:szCs w:val="32"/>
        </w:rPr>
        <w:t>于结案后向被保险人支付保险赔款，其他两方在出</w:t>
      </w:r>
      <w:proofErr w:type="gramStart"/>
      <w:r w:rsidR="00CC730E" w:rsidRPr="005E1925">
        <w:rPr>
          <w:rFonts w:asciiTheme="minorEastAsia" w:eastAsiaTheme="minorEastAsia" w:hAnsiTheme="minorEastAsia" w:cs="宋体" w:hint="eastAsia"/>
          <w:color w:val="000000"/>
          <w:kern w:val="0"/>
          <w:sz w:val="28"/>
          <w:szCs w:val="32"/>
        </w:rPr>
        <w:t>单公司</w:t>
      </w:r>
      <w:proofErr w:type="gramEnd"/>
      <w:r w:rsidR="00CC730E" w:rsidRPr="005E1925">
        <w:rPr>
          <w:rFonts w:asciiTheme="minorEastAsia" w:eastAsiaTheme="minorEastAsia" w:hAnsiTheme="minorEastAsia" w:cs="宋体" w:hint="eastAsia"/>
          <w:color w:val="000000"/>
          <w:kern w:val="0"/>
          <w:sz w:val="28"/>
          <w:szCs w:val="32"/>
        </w:rPr>
        <w:t>支付保险赔款后按照共保承保比例支付保险赔款给出单公司。</w:t>
      </w:r>
    </w:p>
    <w:p w:rsidR="00CC730E" w:rsidRPr="005E1925" w:rsidRDefault="00CC730E"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2013年6月，案外人</w:t>
      </w:r>
      <w:r w:rsidR="00187930" w:rsidRPr="005E1925">
        <w:rPr>
          <w:rFonts w:asciiTheme="minorEastAsia" w:eastAsiaTheme="minorEastAsia" w:hAnsiTheme="minorEastAsia" w:cs="宋体" w:hint="eastAsia"/>
          <w:color w:val="000000"/>
          <w:kern w:val="0"/>
          <w:sz w:val="28"/>
          <w:szCs w:val="32"/>
        </w:rPr>
        <w:t>上海职工休养度假服务公司（以下简称职工度假公司）</w:t>
      </w:r>
      <w:r w:rsidRPr="005E1925">
        <w:rPr>
          <w:rFonts w:asciiTheme="minorEastAsia" w:eastAsiaTheme="minorEastAsia" w:hAnsiTheme="minorEastAsia" w:cs="宋体" w:hint="eastAsia"/>
          <w:color w:val="000000"/>
          <w:kern w:val="0"/>
          <w:sz w:val="28"/>
          <w:szCs w:val="32"/>
        </w:rPr>
        <w:t>向</w:t>
      </w:r>
      <w:r w:rsidR="00187930" w:rsidRPr="005E1925">
        <w:rPr>
          <w:rFonts w:asciiTheme="minorEastAsia" w:eastAsiaTheme="minorEastAsia" w:hAnsiTheme="minorEastAsia" w:cs="宋体" w:hint="eastAsia"/>
          <w:color w:val="000000"/>
          <w:kern w:val="0"/>
          <w:sz w:val="28"/>
          <w:szCs w:val="32"/>
        </w:rPr>
        <w:t>平安上海分公司</w:t>
      </w:r>
      <w:r w:rsidRPr="005E1925">
        <w:rPr>
          <w:rFonts w:asciiTheme="minorEastAsia" w:eastAsiaTheme="minorEastAsia" w:hAnsiTheme="minorEastAsia" w:cs="宋体" w:hint="eastAsia"/>
          <w:color w:val="000000"/>
          <w:kern w:val="0"/>
          <w:sz w:val="28"/>
          <w:szCs w:val="32"/>
        </w:rPr>
        <w:t>投保该道路客运承运人责任保险，保险标的为沪B-EXXXX大客车；同时保险条款的共保信息栏记载：“</w:t>
      </w:r>
      <w:r w:rsidR="00187930" w:rsidRPr="005E1925">
        <w:rPr>
          <w:rFonts w:asciiTheme="minorEastAsia" w:eastAsiaTheme="minorEastAsia" w:hAnsiTheme="minorEastAsia" w:cs="宋体" w:hint="eastAsia"/>
          <w:color w:val="000000"/>
          <w:kern w:val="0"/>
          <w:sz w:val="28"/>
          <w:szCs w:val="32"/>
        </w:rPr>
        <w:t>平安上海分公司</w:t>
      </w:r>
      <w:r w:rsidRPr="005E1925">
        <w:rPr>
          <w:rFonts w:asciiTheme="minorEastAsia" w:eastAsiaTheme="minorEastAsia" w:hAnsiTheme="minorEastAsia" w:cs="宋体" w:hint="eastAsia"/>
          <w:color w:val="000000"/>
          <w:kern w:val="0"/>
          <w:sz w:val="28"/>
          <w:szCs w:val="32"/>
        </w:rPr>
        <w:t>25%、</w:t>
      </w:r>
      <w:r w:rsidR="00187930" w:rsidRPr="005E1925">
        <w:rPr>
          <w:rFonts w:asciiTheme="minorEastAsia" w:eastAsiaTheme="minorEastAsia" w:hAnsiTheme="minorEastAsia" w:cs="宋体" w:hint="eastAsia"/>
          <w:color w:val="000000"/>
          <w:kern w:val="0"/>
          <w:sz w:val="28"/>
          <w:szCs w:val="32"/>
        </w:rPr>
        <w:t>人保上海分公司</w:t>
      </w:r>
      <w:r w:rsidRPr="005E1925">
        <w:rPr>
          <w:rFonts w:asciiTheme="minorEastAsia" w:eastAsiaTheme="minorEastAsia" w:hAnsiTheme="minorEastAsia" w:cs="宋体" w:hint="eastAsia"/>
          <w:color w:val="000000"/>
          <w:kern w:val="0"/>
          <w:sz w:val="28"/>
          <w:szCs w:val="32"/>
        </w:rPr>
        <w:t>50%、</w:t>
      </w:r>
      <w:r w:rsidR="00187930" w:rsidRPr="005E1925">
        <w:rPr>
          <w:rFonts w:asciiTheme="minorEastAsia" w:eastAsiaTheme="minorEastAsia" w:hAnsiTheme="minorEastAsia" w:cs="宋体" w:hint="eastAsia"/>
          <w:color w:val="000000"/>
          <w:kern w:val="0"/>
          <w:sz w:val="28"/>
          <w:szCs w:val="32"/>
        </w:rPr>
        <w:t>太平洋财险上海分公司</w:t>
      </w:r>
      <w:r w:rsidRPr="005E1925">
        <w:rPr>
          <w:rFonts w:asciiTheme="minorEastAsia" w:eastAsiaTheme="minorEastAsia" w:hAnsiTheme="minorEastAsia" w:cs="宋体" w:hint="eastAsia"/>
          <w:color w:val="000000"/>
          <w:kern w:val="0"/>
          <w:sz w:val="28"/>
          <w:szCs w:val="32"/>
        </w:rPr>
        <w:t>25%”。嗣后，案</w:t>
      </w:r>
      <w:proofErr w:type="gramStart"/>
      <w:r w:rsidRPr="005E1925">
        <w:rPr>
          <w:rFonts w:asciiTheme="minorEastAsia" w:eastAsiaTheme="minorEastAsia" w:hAnsiTheme="minorEastAsia" w:cs="宋体" w:hint="eastAsia"/>
          <w:color w:val="000000"/>
          <w:kern w:val="0"/>
          <w:sz w:val="28"/>
          <w:szCs w:val="32"/>
        </w:rPr>
        <w:t>涉保险</w:t>
      </w:r>
      <w:proofErr w:type="gramEnd"/>
      <w:r w:rsidRPr="005E1925">
        <w:rPr>
          <w:rFonts w:asciiTheme="minorEastAsia" w:eastAsiaTheme="minorEastAsia" w:hAnsiTheme="minorEastAsia" w:cs="宋体" w:hint="eastAsia"/>
          <w:color w:val="000000"/>
          <w:kern w:val="0"/>
          <w:sz w:val="28"/>
          <w:szCs w:val="32"/>
        </w:rPr>
        <w:t>标的发生侧翻事故，</w:t>
      </w:r>
      <w:proofErr w:type="gramStart"/>
      <w:r w:rsidRPr="005E1925">
        <w:rPr>
          <w:rFonts w:asciiTheme="minorEastAsia" w:eastAsiaTheme="minorEastAsia" w:hAnsiTheme="minorEastAsia" w:cs="宋体" w:hint="eastAsia"/>
          <w:color w:val="000000"/>
          <w:kern w:val="0"/>
          <w:sz w:val="28"/>
          <w:szCs w:val="32"/>
        </w:rPr>
        <w:t>造成案</w:t>
      </w:r>
      <w:proofErr w:type="gramEnd"/>
      <w:r w:rsidRPr="005E1925">
        <w:rPr>
          <w:rFonts w:asciiTheme="minorEastAsia" w:eastAsiaTheme="minorEastAsia" w:hAnsiTheme="minorEastAsia" w:cs="宋体" w:hint="eastAsia"/>
          <w:color w:val="000000"/>
          <w:kern w:val="0"/>
          <w:sz w:val="28"/>
          <w:szCs w:val="32"/>
        </w:rPr>
        <w:t>外人三人当场死亡及多人受伤。</w:t>
      </w:r>
    </w:p>
    <w:p w:rsidR="00CC730E" w:rsidRPr="005E1925" w:rsidRDefault="00CC730E"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事故发生后，</w:t>
      </w:r>
      <w:r w:rsidR="00187930" w:rsidRPr="005E1925">
        <w:rPr>
          <w:rFonts w:asciiTheme="minorEastAsia" w:eastAsiaTheme="minorEastAsia" w:hAnsiTheme="minorEastAsia" w:cs="宋体" w:hint="eastAsia"/>
          <w:color w:val="000000"/>
          <w:kern w:val="0"/>
          <w:sz w:val="28"/>
          <w:szCs w:val="32"/>
        </w:rPr>
        <w:t>平安上海分公司</w:t>
      </w:r>
      <w:r w:rsidRPr="005E1925">
        <w:rPr>
          <w:rFonts w:asciiTheme="minorEastAsia" w:eastAsiaTheme="minorEastAsia" w:hAnsiTheme="minorEastAsia" w:cs="宋体" w:hint="eastAsia"/>
          <w:color w:val="000000"/>
          <w:kern w:val="0"/>
          <w:sz w:val="28"/>
          <w:szCs w:val="32"/>
        </w:rPr>
        <w:t>作为保单的出</w:t>
      </w:r>
      <w:proofErr w:type="gramStart"/>
      <w:r w:rsidRPr="005E1925">
        <w:rPr>
          <w:rFonts w:asciiTheme="minorEastAsia" w:eastAsiaTheme="minorEastAsia" w:hAnsiTheme="minorEastAsia" w:cs="宋体" w:hint="eastAsia"/>
          <w:color w:val="000000"/>
          <w:kern w:val="0"/>
          <w:sz w:val="28"/>
          <w:szCs w:val="32"/>
        </w:rPr>
        <w:t>单公司</w:t>
      </w:r>
      <w:proofErr w:type="gramEnd"/>
      <w:r w:rsidRPr="005E1925">
        <w:rPr>
          <w:rFonts w:asciiTheme="minorEastAsia" w:eastAsiaTheme="minorEastAsia" w:hAnsiTheme="minorEastAsia" w:cs="宋体" w:hint="eastAsia"/>
          <w:color w:val="000000"/>
          <w:kern w:val="0"/>
          <w:sz w:val="28"/>
          <w:szCs w:val="32"/>
        </w:rPr>
        <w:t>进行理赔，并出具《承运人责任险赔款计算书》，其上载明了对三名死者家属的预赔款金额。</w:t>
      </w:r>
      <w:r w:rsidR="00187930" w:rsidRPr="005E1925">
        <w:rPr>
          <w:rFonts w:asciiTheme="minorEastAsia" w:eastAsiaTheme="minorEastAsia" w:hAnsiTheme="minorEastAsia" w:cs="宋体" w:hint="eastAsia"/>
          <w:color w:val="000000"/>
          <w:kern w:val="0"/>
          <w:sz w:val="28"/>
          <w:szCs w:val="32"/>
        </w:rPr>
        <w:t>人保上海分公司</w:t>
      </w:r>
      <w:r w:rsidRPr="005E1925">
        <w:rPr>
          <w:rFonts w:asciiTheme="minorEastAsia" w:eastAsiaTheme="minorEastAsia" w:hAnsiTheme="minorEastAsia" w:cs="宋体" w:hint="eastAsia"/>
          <w:color w:val="000000"/>
          <w:kern w:val="0"/>
          <w:sz w:val="28"/>
          <w:szCs w:val="32"/>
        </w:rPr>
        <w:t>依照《共保协议书》及上述《承运人责任险赔款计算书》，对预赔款按比例分摊后，共计向</w:t>
      </w:r>
      <w:r w:rsidR="00187930" w:rsidRPr="005E1925">
        <w:rPr>
          <w:rFonts w:asciiTheme="minorEastAsia" w:eastAsiaTheme="minorEastAsia" w:hAnsiTheme="minorEastAsia" w:cs="宋体" w:hint="eastAsia"/>
          <w:color w:val="000000"/>
          <w:kern w:val="0"/>
          <w:sz w:val="28"/>
          <w:szCs w:val="32"/>
        </w:rPr>
        <w:t>平安上海分公司</w:t>
      </w:r>
      <w:r w:rsidRPr="005E1925">
        <w:rPr>
          <w:rFonts w:asciiTheme="minorEastAsia" w:eastAsiaTheme="minorEastAsia" w:hAnsiTheme="minorEastAsia" w:cs="宋体" w:hint="eastAsia"/>
          <w:color w:val="000000"/>
          <w:kern w:val="0"/>
          <w:sz w:val="28"/>
          <w:szCs w:val="32"/>
        </w:rPr>
        <w:t>支付1,487,264元。</w:t>
      </w:r>
    </w:p>
    <w:p w:rsidR="00CC730E" w:rsidRPr="005E1925" w:rsidRDefault="00CC730E"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之后，三名死者家属因未收到足额赔款，分别对</w:t>
      </w:r>
      <w:r w:rsidR="00187930" w:rsidRPr="005E1925">
        <w:rPr>
          <w:rFonts w:asciiTheme="minorEastAsia" w:eastAsiaTheme="minorEastAsia" w:hAnsiTheme="minorEastAsia" w:cs="宋体" w:hint="eastAsia"/>
          <w:color w:val="000000"/>
          <w:kern w:val="0"/>
          <w:sz w:val="28"/>
          <w:szCs w:val="32"/>
        </w:rPr>
        <w:t>人保上海分公司</w:t>
      </w:r>
      <w:r w:rsidRPr="005E1925">
        <w:rPr>
          <w:rFonts w:asciiTheme="minorEastAsia" w:eastAsiaTheme="minorEastAsia" w:hAnsiTheme="minorEastAsia" w:cs="宋体" w:hint="eastAsia"/>
          <w:color w:val="000000"/>
          <w:kern w:val="0"/>
          <w:sz w:val="28"/>
          <w:szCs w:val="32"/>
        </w:rPr>
        <w:t>、</w:t>
      </w:r>
      <w:r w:rsidR="00187930" w:rsidRPr="005E1925">
        <w:rPr>
          <w:rFonts w:asciiTheme="minorEastAsia" w:eastAsiaTheme="minorEastAsia" w:hAnsiTheme="minorEastAsia" w:cs="宋体" w:hint="eastAsia"/>
          <w:color w:val="000000"/>
          <w:kern w:val="0"/>
          <w:sz w:val="28"/>
          <w:szCs w:val="32"/>
        </w:rPr>
        <w:t>平安上海分公司</w:t>
      </w:r>
      <w:r w:rsidRPr="005E1925">
        <w:rPr>
          <w:rFonts w:asciiTheme="minorEastAsia" w:eastAsiaTheme="minorEastAsia" w:hAnsiTheme="minorEastAsia" w:cs="宋体" w:hint="eastAsia"/>
          <w:color w:val="000000"/>
          <w:kern w:val="0"/>
          <w:sz w:val="28"/>
          <w:szCs w:val="32"/>
        </w:rPr>
        <w:t>及</w:t>
      </w:r>
      <w:r w:rsidR="002C0B66" w:rsidRPr="005E1925">
        <w:rPr>
          <w:rFonts w:asciiTheme="minorEastAsia" w:eastAsiaTheme="minorEastAsia" w:hAnsiTheme="minorEastAsia" w:cs="宋体" w:hint="eastAsia"/>
          <w:color w:val="000000"/>
          <w:kern w:val="0"/>
          <w:sz w:val="28"/>
          <w:szCs w:val="32"/>
        </w:rPr>
        <w:t>太平洋财险上海分公司</w:t>
      </w:r>
      <w:r w:rsidRPr="005E1925">
        <w:rPr>
          <w:rFonts w:asciiTheme="minorEastAsia" w:eastAsiaTheme="minorEastAsia" w:hAnsiTheme="minorEastAsia" w:cs="宋体" w:hint="eastAsia"/>
          <w:color w:val="000000"/>
          <w:kern w:val="0"/>
          <w:sz w:val="28"/>
          <w:szCs w:val="32"/>
        </w:rPr>
        <w:t>提起责任保险合同诉讼，</w:t>
      </w:r>
      <w:r w:rsidR="00187930" w:rsidRPr="005E1925">
        <w:rPr>
          <w:rFonts w:asciiTheme="minorEastAsia" w:eastAsiaTheme="minorEastAsia" w:hAnsiTheme="minorEastAsia" w:cs="宋体" w:hint="eastAsia"/>
          <w:color w:val="000000"/>
          <w:kern w:val="0"/>
          <w:sz w:val="28"/>
          <w:szCs w:val="32"/>
        </w:rPr>
        <w:t>职工度假公司</w:t>
      </w:r>
      <w:r w:rsidRPr="005E1925">
        <w:rPr>
          <w:rFonts w:asciiTheme="minorEastAsia" w:eastAsiaTheme="minorEastAsia" w:hAnsiTheme="minorEastAsia" w:cs="宋体" w:hint="eastAsia"/>
          <w:color w:val="000000"/>
          <w:kern w:val="0"/>
          <w:sz w:val="28"/>
          <w:szCs w:val="32"/>
        </w:rPr>
        <w:t>作为第三人参加诉讼。案件经审理查明：</w:t>
      </w:r>
      <w:r w:rsidR="00187930" w:rsidRPr="005E1925">
        <w:rPr>
          <w:rFonts w:asciiTheme="minorEastAsia" w:eastAsiaTheme="minorEastAsia" w:hAnsiTheme="minorEastAsia" w:cs="宋体" w:hint="eastAsia"/>
          <w:color w:val="000000"/>
          <w:kern w:val="0"/>
          <w:sz w:val="28"/>
          <w:szCs w:val="32"/>
        </w:rPr>
        <w:t>平安上海分公司</w:t>
      </w:r>
      <w:r w:rsidRPr="005E1925">
        <w:rPr>
          <w:rFonts w:asciiTheme="minorEastAsia" w:eastAsiaTheme="minorEastAsia" w:hAnsiTheme="minorEastAsia" w:cs="宋体" w:hint="eastAsia"/>
          <w:color w:val="000000"/>
          <w:kern w:val="0"/>
          <w:sz w:val="28"/>
          <w:szCs w:val="32"/>
        </w:rPr>
        <w:t>为案涉事故向</w:t>
      </w:r>
      <w:r w:rsidR="00187930" w:rsidRPr="005E1925">
        <w:rPr>
          <w:rFonts w:asciiTheme="minorEastAsia" w:eastAsiaTheme="minorEastAsia" w:hAnsiTheme="minorEastAsia" w:cs="宋体" w:hint="eastAsia"/>
          <w:color w:val="000000"/>
          <w:kern w:val="0"/>
          <w:sz w:val="28"/>
          <w:szCs w:val="32"/>
        </w:rPr>
        <w:t>职工度假公司</w:t>
      </w:r>
      <w:r w:rsidRPr="005E1925">
        <w:rPr>
          <w:rFonts w:asciiTheme="minorEastAsia" w:eastAsiaTheme="minorEastAsia" w:hAnsiTheme="minorEastAsia" w:cs="宋体" w:hint="eastAsia"/>
          <w:color w:val="000000"/>
          <w:kern w:val="0"/>
          <w:sz w:val="28"/>
          <w:szCs w:val="32"/>
        </w:rPr>
        <w:t>支付预付款后，</w:t>
      </w:r>
      <w:r w:rsidR="00187930" w:rsidRPr="005E1925">
        <w:rPr>
          <w:rFonts w:asciiTheme="minorEastAsia" w:eastAsiaTheme="minorEastAsia" w:hAnsiTheme="minorEastAsia" w:cs="宋体" w:hint="eastAsia"/>
          <w:color w:val="000000"/>
          <w:kern w:val="0"/>
          <w:sz w:val="28"/>
          <w:szCs w:val="32"/>
        </w:rPr>
        <w:t>职工度假公司</w:t>
      </w:r>
      <w:r w:rsidRPr="005E1925">
        <w:rPr>
          <w:rFonts w:asciiTheme="minorEastAsia" w:eastAsiaTheme="minorEastAsia" w:hAnsiTheme="minorEastAsia" w:cs="宋体" w:hint="eastAsia"/>
          <w:color w:val="000000"/>
          <w:kern w:val="0"/>
          <w:sz w:val="28"/>
          <w:szCs w:val="32"/>
        </w:rPr>
        <w:t>将部分赔款用于处理其他伤者。法院认为</w:t>
      </w:r>
      <w:r w:rsidR="00187930" w:rsidRPr="005E1925">
        <w:rPr>
          <w:rFonts w:asciiTheme="minorEastAsia" w:eastAsiaTheme="minorEastAsia" w:hAnsiTheme="minorEastAsia" w:cs="宋体" w:hint="eastAsia"/>
          <w:color w:val="000000"/>
          <w:kern w:val="0"/>
          <w:sz w:val="28"/>
          <w:szCs w:val="32"/>
        </w:rPr>
        <w:t>平安上海分公司</w:t>
      </w:r>
      <w:r w:rsidRPr="005E1925">
        <w:rPr>
          <w:rFonts w:asciiTheme="minorEastAsia" w:eastAsiaTheme="minorEastAsia" w:hAnsiTheme="minorEastAsia" w:cs="宋体" w:hint="eastAsia"/>
          <w:color w:val="000000"/>
          <w:kern w:val="0"/>
          <w:sz w:val="28"/>
          <w:szCs w:val="32"/>
        </w:rPr>
        <w:t>直接向被保险人</w:t>
      </w:r>
      <w:r w:rsidR="00187930" w:rsidRPr="005E1925">
        <w:rPr>
          <w:rFonts w:asciiTheme="minorEastAsia" w:eastAsiaTheme="minorEastAsia" w:hAnsiTheme="minorEastAsia" w:cs="宋体" w:hint="eastAsia"/>
          <w:color w:val="000000"/>
          <w:kern w:val="0"/>
          <w:sz w:val="28"/>
          <w:szCs w:val="32"/>
        </w:rPr>
        <w:t>职工度假公司</w:t>
      </w:r>
      <w:r w:rsidRPr="005E1925">
        <w:rPr>
          <w:rFonts w:asciiTheme="minorEastAsia" w:eastAsiaTheme="minorEastAsia" w:hAnsiTheme="minorEastAsia" w:cs="宋体" w:hint="eastAsia"/>
          <w:color w:val="000000"/>
          <w:kern w:val="0"/>
          <w:sz w:val="28"/>
          <w:szCs w:val="32"/>
        </w:rPr>
        <w:t>支付保险赔偿款时，未审核其是否已向第三者支付保险赔偿金,亦未提供证据证明第三人已足额收到保险赔偿金，故应继续履行保险赔偿责任；三家共保保险公司是共同保险人，应依照《共保协议书》及保险单约定的比例各自承担份额内的保险赔偿责任，据此判决</w:t>
      </w:r>
      <w:r w:rsidR="00187930" w:rsidRPr="005E1925">
        <w:rPr>
          <w:rFonts w:asciiTheme="minorEastAsia" w:eastAsiaTheme="minorEastAsia" w:hAnsiTheme="minorEastAsia" w:cs="宋体" w:hint="eastAsia"/>
          <w:color w:val="000000"/>
          <w:kern w:val="0"/>
          <w:sz w:val="28"/>
          <w:szCs w:val="32"/>
        </w:rPr>
        <w:t>人保上海分公司</w:t>
      </w:r>
      <w:r w:rsidRPr="005E1925">
        <w:rPr>
          <w:rFonts w:asciiTheme="minorEastAsia" w:eastAsiaTheme="minorEastAsia" w:hAnsiTheme="minorEastAsia" w:cs="宋体" w:hint="eastAsia"/>
          <w:color w:val="000000"/>
          <w:kern w:val="0"/>
          <w:sz w:val="28"/>
          <w:szCs w:val="32"/>
        </w:rPr>
        <w:t>按50%的共保比例支付保险金。</w:t>
      </w:r>
      <w:r w:rsidR="00187930" w:rsidRPr="005E1925">
        <w:rPr>
          <w:rFonts w:asciiTheme="minorEastAsia" w:eastAsiaTheme="minorEastAsia" w:hAnsiTheme="minorEastAsia" w:cs="宋体" w:hint="eastAsia"/>
          <w:color w:val="000000"/>
          <w:kern w:val="0"/>
          <w:sz w:val="28"/>
          <w:szCs w:val="32"/>
        </w:rPr>
        <w:t>人保上海分公司</w:t>
      </w:r>
      <w:r w:rsidRPr="005E1925">
        <w:rPr>
          <w:rFonts w:asciiTheme="minorEastAsia" w:eastAsiaTheme="minorEastAsia" w:hAnsiTheme="minorEastAsia" w:cs="宋体" w:hint="eastAsia"/>
          <w:color w:val="000000"/>
          <w:kern w:val="0"/>
          <w:sz w:val="28"/>
          <w:szCs w:val="32"/>
        </w:rPr>
        <w:t>依判决履行了付款义务。现</w:t>
      </w:r>
      <w:r w:rsidR="00187930" w:rsidRPr="005E1925">
        <w:rPr>
          <w:rFonts w:asciiTheme="minorEastAsia" w:eastAsiaTheme="minorEastAsia" w:hAnsiTheme="minorEastAsia" w:cs="宋体" w:hint="eastAsia"/>
          <w:color w:val="000000"/>
          <w:kern w:val="0"/>
          <w:sz w:val="28"/>
          <w:szCs w:val="32"/>
        </w:rPr>
        <w:t>人保上海分公司</w:t>
      </w:r>
      <w:r w:rsidRPr="005E1925">
        <w:rPr>
          <w:rFonts w:asciiTheme="minorEastAsia" w:eastAsiaTheme="minorEastAsia" w:hAnsiTheme="minorEastAsia" w:cs="宋体" w:hint="eastAsia"/>
          <w:color w:val="000000"/>
          <w:kern w:val="0"/>
          <w:sz w:val="28"/>
          <w:szCs w:val="32"/>
        </w:rPr>
        <w:t>起诉，要求</w:t>
      </w:r>
      <w:r w:rsidR="00187930" w:rsidRPr="005E1925">
        <w:rPr>
          <w:rFonts w:asciiTheme="minorEastAsia" w:eastAsiaTheme="minorEastAsia" w:hAnsiTheme="minorEastAsia" w:cs="宋体" w:hint="eastAsia"/>
          <w:color w:val="000000"/>
          <w:kern w:val="0"/>
          <w:sz w:val="28"/>
          <w:szCs w:val="32"/>
        </w:rPr>
        <w:t>平安上海分公司</w:t>
      </w:r>
      <w:r w:rsidRPr="005E1925">
        <w:rPr>
          <w:rFonts w:asciiTheme="minorEastAsia" w:eastAsiaTheme="minorEastAsia" w:hAnsiTheme="minorEastAsia" w:cs="宋体" w:hint="eastAsia"/>
          <w:color w:val="000000"/>
          <w:kern w:val="0"/>
          <w:sz w:val="28"/>
          <w:szCs w:val="32"/>
        </w:rPr>
        <w:t>赔偿上述重复支付的金额。</w:t>
      </w:r>
    </w:p>
    <w:p w:rsidR="004E5F6D" w:rsidRPr="005E1925" w:rsidRDefault="00CC730E"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上海市静安区人民法院</w:t>
      </w:r>
      <w:r w:rsidR="00680327" w:rsidRPr="005E1925">
        <w:rPr>
          <w:rFonts w:asciiTheme="minorEastAsia" w:eastAsiaTheme="minorEastAsia" w:hAnsiTheme="minorEastAsia" w:cs="宋体" w:hint="eastAsia"/>
          <w:color w:val="000000"/>
          <w:kern w:val="0"/>
          <w:sz w:val="28"/>
          <w:szCs w:val="32"/>
        </w:rPr>
        <w:t>一审</w:t>
      </w:r>
      <w:r w:rsidRPr="005E1925">
        <w:rPr>
          <w:rFonts w:asciiTheme="minorEastAsia" w:eastAsiaTheme="minorEastAsia" w:hAnsiTheme="minorEastAsia" w:cs="宋体" w:hint="eastAsia"/>
          <w:color w:val="000000"/>
          <w:kern w:val="0"/>
          <w:sz w:val="28"/>
          <w:szCs w:val="32"/>
        </w:rPr>
        <w:t>判决：驳回</w:t>
      </w:r>
      <w:r w:rsidR="00187930" w:rsidRPr="005E1925">
        <w:rPr>
          <w:rFonts w:asciiTheme="minorEastAsia" w:eastAsiaTheme="minorEastAsia" w:hAnsiTheme="minorEastAsia" w:cs="宋体" w:hint="eastAsia"/>
          <w:color w:val="000000"/>
          <w:kern w:val="0"/>
          <w:sz w:val="28"/>
          <w:szCs w:val="32"/>
        </w:rPr>
        <w:t>人保上海分公司</w:t>
      </w:r>
      <w:r w:rsidRPr="005E1925">
        <w:rPr>
          <w:rFonts w:asciiTheme="minorEastAsia" w:eastAsiaTheme="minorEastAsia" w:hAnsiTheme="minorEastAsia" w:cs="宋体" w:hint="eastAsia"/>
          <w:color w:val="000000"/>
          <w:kern w:val="0"/>
          <w:sz w:val="28"/>
          <w:szCs w:val="32"/>
        </w:rPr>
        <w:t>的诉讼请求。宣判后，</w:t>
      </w:r>
      <w:r w:rsidR="00187930" w:rsidRPr="005E1925">
        <w:rPr>
          <w:rFonts w:asciiTheme="minorEastAsia" w:eastAsiaTheme="minorEastAsia" w:hAnsiTheme="minorEastAsia" w:cs="宋体" w:hint="eastAsia"/>
          <w:color w:val="000000"/>
          <w:kern w:val="0"/>
          <w:sz w:val="28"/>
          <w:szCs w:val="32"/>
        </w:rPr>
        <w:t>人保上海分公司</w:t>
      </w:r>
      <w:r w:rsidRPr="005E1925">
        <w:rPr>
          <w:rFonts w:asciiTheme="minorEastAsia" w:eastAsiaTheme="minorEastAsia" w:hAnsiTheme="minorEastAsia" w:cs="宋体" w:hint="eastAsia"/>
          <w:color w:val="000000"/>
          <w:kern w:val="0"/>
          <w:sz w:val="28"/>
          <w:szCs w:val="32"/>
        </w:rPr>
        <w:t>提出上诉。上海金融法院</w:t>
      </w:r>
      <w:r w:rsidR="00680327" w:rsidRPr="005E1925">
        <w:rPr>
          <w:rFonts w:asciiTheme="minorEastAsia" w:eastAsiaTheme="minorEastAsia" w:hAnsiTheme="minorEastAsia" w:cs="宋体" w:hint="eastAsia"/>
          <w:color w:val="000000"/>
          <w:kern w:val="0"/>
          <w:sz w:val="28"/>
          <w:szCs w:val="32"/>
        </w:rPr>
        <w:t>二审</w:t>
      </w:r>
      <w:r w:rsidRPr="005E1925">
        <w:rPr>
          <w:rFonts w:asciiTheme="minorEastAsia" w:eastAsiaTheme="minorEastAsia" w:hAnsiTheme="minorEastAsia" w:cs="宋体" w:hint="eastAsia"/>
          <w:color w:val="000000"/>
          <w:kern w:val="0"/>
          <w:sz w:val="28"/>
          <w:szCs w:val="32"/>
        </w:rPr>
        <w:t>判决撤销一审判决；</w:t>
      </w:r>
      <w:r w:rsidR="00187930" w:rsidRPr="005E1925">
        <w:rPr>
          <w:rFonts w:asciiTheme="minorEastAsia" w:eastAsiaTheme="minorEastAsia" w:hAnsiTheme="minorEastAsia" w:cs="宋体" w:hint="eastAsia"/>
          <w:color w:val="000000"/>
          <w:kern w:val="0"/>
          <w:sz w:val="28"/>
          <w:szCs w:val="32"/>
        </w:rPr>
        <w:t>平安上海分公司</w:t>
      </w:r>
      <w:r w:rsidRPr="005E1925">
        <w:rPr>
          <w:rFonts w:asciiTheme="minorEastAsia" w:eastAsiaTheme="minorEastAsia" w:hAnsiTheme="minorEastAsia" w:cs="宋体" w:hint="eastAsia"/>
          <w:color w:val="000000"/>
          <w:kern w:val="0"/>
          <w:sz w:val="28"/>
          <w:szCs w:val="32"/>
        </w:rPr>
        <w:t>赔偿</w:t>
      </w:r>
      <w:r w:rsidR="00187930" w:rsidRPr="005E1925">
        <w:rPr>
          <w:rFonts w:asciiTheme="minorEastAsia" w:eastAsiaTheme="minorEastAsia" w:hAnsiTheme="minorEastAsia" w:cs="宋体" w:hint="eastAsia"/>
          <w:color w:val="000000"/>
          <w:kern w:val="0"/>
          <w:sz w:val="28"/>
          <w:szCs w:val="32"/>
        </w:rPr>
        <w:t>人保上海分公司</w:t>
      </w:r>
      <w:r w:rsidRPr="005E1925">
        <w:rPr>
          <w:rFonts w:asciiTheme="minorEastAsia" w:eastAsiaTheme="minorEastAsia" w:hAnsiTheme="minorEastAsia" w:cs="宋体" w:hint="eastAsia"/>
          <w:color w:val="000000"/>
          <w:kern w:val="0"/>
          <w:sz w:val="28"/>
          <w:szCs w:val="32"/>
        </w:rPr>
        <w:t>保险金681,342.40元及利息。</w:t>
      </w:r>
    </w:p>
    <w:p w:rsidR="009C0D9C" w:rsidRDefault="009C0D9C" w:rsidP="007C0E76">
      <w:pPr>
        <w:widowControl/>
        <w:jc w:val="left"/>
        <w:rPr>
          <w:rFonts w:ascii="黑体" w:eastAsia="黑体" w:hAnsi="黑体"/>
          <w:color w:val="000000"/>
          <w:kern w:val="0"/>
          <w:sz w:val="32"/>
          <w:szCs w:val="32"/>
        </w:rPr>
      </w:pPr>
    </w:p>
    <w:p w:rsidR="009C0D9C" w:rsidRDefault="000D1301" w:rsidP="005E1925">
      <w:pPr>
        <w:widowControl/>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【专家点评】</w:t>
      </w:r>
    </w:p>
    <w:p w:rsidR="000D1301" w:rsidRPr="005E1925" w:rsidRDefault="000D1301" w:rsidP="000D1301">
      <w:pPr>
        <w:spacing w:line="560" w:lineRule="exact"/>
        <w:ind w:firstLine="564"/>
        <w:contextualSpacing/>
        <w:rPr>
          <w:rFonts w:ascii="黑体" w:eastAsia="黑体" w:hAnsi="黑体"/>
          <w:sz w:val="28"/>
          <w:szCs w:val="32"/>
        </w:rPr>
      </w:pPr>
      <w:r w:rsidRPr="005E1925">
        <w:rPr>
          <w:rFonts w:ascii="黑体" w:eastAsia="黑体" w:hAnsi="黑体" w:hint="eastAsia"/>
          <w:sz w:val="28"/>
          <w:szCs w:val="32"/>
        </w:rPr>
        <w:t>点评人：韩长印，上海交通大学</w:t>
      </w:r>
      <w:proofErr w:type="gramStart"/>
      <w:r w:rsidRPr="005E1925">
        <w:rPr>
          <w:rFonts w:ascii="黑体" w:eastAsia="黑体" w:hAnsi="黑体" w:hint="eastAsia"/>
          <w:sz w:val="28"/>
          <w:szCs w:val="32"/>
        </w:rPr>
        <w:t>凯</w:t>
      </w:r>
      <w:proofErr w:type="gramEnd"/>
      <w:r w:rsidRPr="005E1925">
        <w:rPr>
          <w:rFonts w:ascii="黑体" w:eastAsia="黑体" w:hAnsi="黑体" w:hint="eastAsia"/>
          <w:sz w:val="28"/>
          <w:szCs w:val="32"/>
        </w:rPr>
        <w:t>原法学院教授</w:t>
      </w:r>
    </w:p>
    <w:p w:rsidR="000D1301" w:rsidRPr="005E1925" w:rsidRDefault="000D1301"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责任保险是指以被保险人对第三者依法应负的赔偿责任为保险标的</w:t>
      </w:r>
      <w:proofErr w:type="gramStart"/>
      <w:r w:rsidRPr="005E1925">
        <w:rPr>
          <w:rFonts w:asciiTheme="minorEastAsia" w:eastAsiaTheme="minorEastAsia" w:hAnsiTheme="minorEastAsia" w:cs="宋体" w:hint="eastAsia"/>
          <w:color w:val="000000"/>
          <w:kern w:val="0"/>
          <w:sz w:val="28"/>
          <w:szCs w:val="32"/>
        </w:rPr>
        <w:t>的</w:t>
      </w:r>
      <w:proofErr w:type="gramEnd"/>
      <w:r w:rsidRPr="005E1925">
        <w:rPr>
          <w:rFonts w:asciiTheme="minorEastAsia" w:eastAsiaTheme="minorEastAsia" w:hAnsiTheme="minorEastAsia" w:cs="宋体" w:hint="eastAsia"/>
          <w:color w:val="000000"/>
          <w:kern w:val="0"/>
          <w:sz w:val="28"/>
          <w:szCs w:val="32"/>
        </w:rPr>
        <w:t>险种。其直接功能在于保障受害第三人利益，间接功能在于减轻被保险人的经济负担。根据我国保险法第65条规定，责任保险的被保险人对第三者应负的赔偿责任确定的，根据被保险人的请求，保险人应当直接向该第三者赔偿保险金；被保险人</w:t>
      </w:r>
      <w:proofErr w:type="gramStart"/>
      <w:r w:rsidRPr="005E1925">
        <w:rPr>
          <w:rFonts w:asciiTheme="minorEastAsia" w:eastAsiaTheme="minorEastAsia" w:hAnsiTheme="minorEastAsia" w:cs="宋体" w:hint="eastAsia"/>
          <w:color w:val="000000"/>
          <w:kern w:val="0"/>
          <w:sz w:val="28"/>
          <w:szCs w:val="32"/>
        </w:rPr>
        <w:t>怠</w:t>
      </w:r>
      <w:proofErr w:type="gramEnd"/>
      <w:r w:rsidRPr="005E1925">
        <w:rPr>
          <w:rFonts w:asciiTheme="minorEastAsia" w:eastAsiaTheme="minorEastAsia" w:hAnsiTheme="minorEastAsia" w:cs="宋体" w:hint="eastAsia"/>
          <w:color w:val="000000"/>
          <w:kern w:val="0"/>
          <w:sz w:val="28"/>
          <w:szCs w:val="32"/>
        </w:rPr>
        <w:t>于请求的，第三者有权就其应获赔偿部分直接向保险人请求赔偿保险金；责任保险的被保险人未向该第三者赔偿的，保险人不得向被保险人赔偿保险金。</w:t>
      </w:r>
    </w:p>
    <w:p w:rsidR="000D1301" w:rsidRPr="005E1925" w:rsidRDefault="000D1301"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法理上，为保障责任保险第三人利益的实现，有以下四项</w:t>
      </w:r>
      <w:proofErr w:type="gramStart"/>
      <w:r w:rsidRPr="005E1925">
        <w:rPr>
          <w:rFonts w:asciiTheme="minorEastAsia" w:eastAsiaTheme="minorEastAsia" w:hAnsiTheme="minorEastAsia" w:cs="宋体" w:hint="eastAsia"/>
          <w:color w:val="000000"/>
          <w:kern w:val="0"/>
          <w:sz w:val="28"/>
          <w:szCs w:val="32"/>
        </w:rPr>
        <w:t>规则应予</w:t>
      </w:r>
      <w:proofErr w:type="gramEnd"/>
      <w:r w:rsidRPr="005E1925">
        <w:rPr>
          <w:rFonts w:asciiTheme="minorEastAsia" w:eastAsiaTheme="minorEastAsia" w:hAnsiTheme="minorEastAsia" w:cs="宋体" w:hint="eastAsia"/>
          <w:color w:val="000000"/>
          <w:kern w:val="0"/>
          <w:sz w:val="28"/>
          <w:szCs w:val="32"/>
        </w:rPr>
        <w:t>强调：（1）责任保险的保险人向被保险人赔付保险金的前提是被保险人已经先行向第三人为赔偿；（2）法律禁止被保险人处分（含抛弃）其对保险人的保险给付债权。被保险人如有不当处分，则对第三人在其享有的债权额之内不生对抗效力；（3）受害第三人就被保险人对保险人的保险给付债权（在被保险人破产时）有优先受偿的地位；（4）受害第三人对保险人享有直接诉权的前提是被保险人对第三人的责任已经因终局判决、和解或者承认而得以确定。</w:t>
      </w:r>
    </w:p>
    <w:p w:rsidR="000D1301" w:rsidRDefault="000D1301"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本案中，三家保险人与被保险人之间是共保合同的内外关系，而三家保险人相互之间则是共保合同对外理赔中的互为代理关系。本案二审判决立足于案件事实中内外关系的妥当划分，在贯彻优先保障责任保险第三人利益理念的基础上，根据代理人之间的授信义务，恰切地运用民事责任的二次分配理论，支持了共保保险人的选择权。反映出本案法官深厚的法律素养和高超的司法技能。</w:t>
      </w:r>
    </w:p>
    <w:p w:rsidR="005E1925" w:rsidRDefault="005E1925"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2C2B26" w:rsidRDefault="002C2B26"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2C2B26" w:rsidRDefault="002C2B26"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2C2B26" w:rsidRDefault="002C2B26"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2C2B26" w:rsidRDefault="002C2B26"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2C2B26" w:rsidRDefault="002C2B26"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5E1925" w:rsidRPr="005E1925" w:rsidRDefault="005E1925"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p>
    <w:p w:rsidR="00562908" w:rsidRPr="005E1925" w:rsidRDefault="00912599" w:rsidP="005E1925">
      <w:pPr>
        <w:widowControl/>
        <w:jc w:val="center"/>
        <w:rPr>
          <w:rFonts w:ascii="黑体" w:eastAsia="黑体" w:hAnsi="黑体"/>
          <w:color w:val="000000"/>
          <w:sz w:val="32"/>
          <w:szCs w:val="36"/>
        </w:rPr>
      </w:pPr>
      <w:r w:rsidRPr="005E1925">
        <w:rPr>
          <w:rFonts w:ascii="黑体" w:eastAsia="黑体" w:hAnsi="黑体" w:hint="eastAsia"/>
          <w:color w:val="000000"/>
          <w:sz w:val="32"/>
          <w:szCs w:val="36"/>
        </w:rPr>
        <w:t>期货公司强行平仓权的行使及强行平仓损失的承担</w:t>
      </w:r>
    </w:p>
    <w:p w:rsidR="00CE7F0B" w:rsidRPr="005B2F8A" w:rsidRDefault="00FB3AF0" w:rsidP="00D6308A">
      <w:pPr>
        <w:widowControl/>
        <w:spacing w:line="560" w:lineRule="exact"/>
        <w:jc w:val="center"/>
        <w:rPr>
          <w:rFonts w:asciiTheme="minorEastAsia" w:eastAsiaTheme="minorEastAsia" w:hAnsiTheme="minorEastAsia" w:cs="宋体"/>
          <w:color w:val="000000"/>
          <w:kern w:val="0"/>
          <w:sz w:val="32"/>
          <w:szCs w:val="32"/>
        </w:rPr>
      </w:pPr>
      <w:r>
        <w:rPr>
          <w:rFonts w:ascii="仿宋_GB2312" w:eastAsia="仿宋_GB2312" w:hAnsi="宋体" w:hint="eastAsia"/>
          <w:color w:val="000000"/>
          <w:sz w:val="32"/>
          <w:szCs w:val="32"/>
        </w:rPr>
        <w:t>——</w:t>
      </w:r>
      <w:r w:rsidR="00AA5BB6" w:rsidRPr="005B2F8A">
        <w:rPr>
          <w:rFonts w:asciiTheme="minorEastAsia" w:eastAsiaTheme="minorEastAsia" w:hAnsiTheme="minorEastAsia" w:cs="宋体" w:hint="eastAsia"/>
          <w:color w:val="000000"/>
          <w:kern w:val="0"/>
          <w:sz w:val="32"/>
          <w:szCs w:val="32"/>
        </w:rPr>
        <w:t>光大期货有限公司诉鲍某明期货强行平仓纠纷案</w:t>
      </w:r>
    </w:p>
    <w:p w:rsidR="00912599" w:rsidRDefault="00912599" w:rsidP="00D6308A">
      <w:pPr>
        <w:widowControl/>
        <w:spacing w:line="560" w:lineRule="exact"/>
        <w:jc w:val="center"/>
        <w:rPr>
          <w:rFonts w:ascii="仿宋_GB2312" w:eastAsia="仿宋_GB2312" w:hAnsi="宋体"/>
          <w:color w:val="000000"/>
          <w:sz w:val="32"/>
          <w:szCs w:val="32"/>
        </w:rPr>
      </w:pPr>
    </w:p>
    <w:p w:rsidR="000B5303" w:rsidRPr="007002AD" w:rsidRDefault="00197E71" w:rsidP="000A7638">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w:t>
      </w:r>
      <w:r w:rsidR="000B5303">
        <w:rPr>
          <w:rFonts w:ascii="黑体" w:eastAsia="黑体" w:hAnsi="黑体" w:hint="eastAsia"/>
          <w:sz w:val="32"/>
          <w:szCs w:val="32"/>
        </w:rPr>
        <w:t>基本案情</w:t>
      </w:r>
      <w:r>
        <w:rPr>
          <w:rFonts w:ascii="黑体" w:eastAsia="黑体" w:hAnsi="黑体" w:hint="eastAsia"/>
          <w:sz w:val="32"/>
          <w:szCs w:val="32"/>
        </w:rPr>
        <w:t>】</w:t>
      </w:r>
    </w:p>
    <w:p w:rsidR="00E52922" w:rsidRPr="005E1925" w:rsidRDefault="00E52922"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2018年6月21日，</w:t>
      </w:r>
      <w:r w:rsidR="007C68F8" w:rsidRPr="005E1925">
        <w:rPr>
          <w:rFonts w:asciiTheme="minorEastAsia" w:eastAsiaTheme="minorEastAsia" w:hAnsiTheme="minorEastAsia" w:cs="宋体" w:hint="eastAsia"/>
          <w:color w:val="000000"/>
          <w:kern w:val="0"/>
          <w:sz w:val="28"/>
          <w:szCs w:val="32"/>
        </w:rPr>
        <w:t>光大期货有限公司（以下简称光大期货）</w:t>
      </w:r>
      <w:r w:rsidR="00546D6C" w:rsidRPr="005E1925">
        <w:rPr>
          <w:rFonts w:asciiTheme="minorEastAsia" w:eastAsiaTheme="minorEastAsia" w:hAnsiTheme="minorEastAsia" w:cs="宋体" w:hint="eastAsia"/>
          <w:color w:val="000000"/>
          <w:kern w:val="0"/>
          <w:sz w:val="28"/>
          <w:szCs w:val="32"/>
        </w:rPr>
        <w:t>与</w:t>
      </w:r>
      <w:r w:rsidRPr="005E1925">
        <w:rPr>
          <w:rFonts w:asciiTheme="minorEastAsia" w:eastAsiaTheme="minorEastAsia" w:hAnsiTheme="minorEastAsia" w:cs="宋体" w:hint="eastAsia"/>
          <w:color w:val="000000"/>
          <w:kern w:val="0"/>
          <w:sz w:val="28"/>
          <w:szCs w:val="32"/>
        </w:rPr>
        <w:t>鲍某明签订《自然人期货经纪合同》，约定鲍某明委托</w:t>
      </w:r>
      <w:r w:rsidR="007C68F8" w:rsidRPr="005E1925">
        <w:rPr>
          <w:rFonts w:asciiTheme="minorEastAsia" w:eastAsiaTheme="minorEastAsia" w:hAnsiTheme="minorEastAsia" w:cs="宋体" w:hint="eastAsia"/>
          <w:color w:val="000000"/>
          <w:kern w:val="0"/>
          <w:sz w:val="28"/>
          <w:szCs w:val="32"/>
        </w:rPr>
        <w:t>光大期货</w:t>
      </w:r>
      <w:r w:rsidR="009540EE" w:rsidRPr="005E1925">
        <w:rPr>
          <w:rFonts w:asciiTheme="minorEastAsia" w:eastAsiaTheme="minorEastAsia" w:hAnsiTheme="minorEastAsia" w:cs="宋体" w:hint="eastAsia"/>
          <w:color w:val="000000"/>
          <w:kern w:val="0"/>
          <w:sz w:val="28"/>
          <w:szCs w:val="32"/>
        </w:rPr>
        <w:t>按照鲍某明的交易指令为其进行期货交易；同时约定，在交易收市后，经结算风险率大于100%时，</w:t>
      </w:r>
      <w:r w:rsidR="007C68F8" w:rsidRPr="005E1925">
        <w:rPr>
          <w:rFonts w:asciiTheme="minorEastAsia" w:eastAsiaTheme="minorEastAsia" w:hAnsiTheme="minorEastAsia" w:cs="宋体" w:hint="eastAsia"/>
          <w:color w:val="000000"/>
          <w:kern w:val="0"/>
          <w:sz w:val="28"/>
          <w:szCs w:val="32"/>
        </w:rPr>
        <w:t>光大期货</w:t>
      </w:r>
      <w:r w:rsidR="009540EE" w:rsidRPr="005E1925">
        <w:rPr>
          <w:rFonts w:asciiTheme="minorEastAsia" w:eastAsiaTheme="minorEastAsia" w:hAnsiTheme="minorEastAsia" w:cs="宋体" w:hint="eastAsia"/>
          <w:color w:val="000000"/>
          <w:kern w:val="0"/>
          <w:sz w:val="28"/>
          <w:szCs w:val="32"/>
        </w:rPr>
        <w:t>将向鲍某明发出追加保证金通知和强行平仓通知，鲍某明应在通知所要求的时间内追加足额保证金，否则</w:t>
      </w:r>
      <w:r w:rsidR="007C68F8" w:rsidRPr="005E1925">
        <w:rPr>
          <w:rFonts w:asciiTheme="minorEastAsia" w:eastAsiaTheme="minorEastAsia" w:hAnsiTheme="minorEastAsia" w:cs="宋体" w:hint="eastAsia"/>
          <w:color w:val="000000"/>
          <w:kern w:val="0"/>
          <w:sz w:val="28"/>
          <w:szCs w:val="32"/>
        </w:rPr>
        <w:t>光大期货</w:t>
      </w:r>
      <w:r w:rsidR="009540EE" w:rsidRPr="005E1925">
        <w:rPr>
          <w:rFonts w:asciiTheme="minorEastAsia" w:eastAsiaTheme="minorEastAsia" w:hAnsiTheme="minorEastAsia" w:cs="宋体" w:hint="eastAsia"/>
          <w:color w:val="000000"/>
          <w:kern w:val="0"/>
          <w:sz w:val="28"/>
          <w:szCs w:val="32"/>
        </w:rPr>
        <w:t>有权在不通知鲍某明的情况下，对鲍某明期货账户的部分或全部未平仓合约强行平仓。（其中风险率的计算方式为：风险率=客户持仓保证金÷客户权益×100%。）</w:t>
      </w:r>
      <w:r w:rsidR="00696AA4" w:rsidRPr="005E1925">
        <w:rPr>
          <w:rFonts w:asciiTheme="minorEastAsia" w:eastAsiaTheme="minorEastAsia" w:hAnsiTheme="minorEastAsia" w:cs="宋体" w:hint="eastAsia"/>
          <w:color w:val="000000"/>
          <w:kern w:val="0"/>
          <w:sz w:val="28"/>
          <w:szCs w:val="32"/>
        </w:rPr>
        <w:t>双方确认，该风险率系指“公司风险率”。</w:t>
      </w:r>
    </w:p>
    <w:p w:rsidR="00696AA4" w:rsidRPr="005E1925" w:rsidRDefault="00E52922"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鲍</w:t>
      </w:r>
      <w:r w:rsidR="00696AA4" w:rsidRPr="005E1925">
        <w:rPr>
          <w:rFonts w:asciiTheme="minorEastAsia" w:eastAsiaTheme="minorEastAsia" w:hAnsiTheme="minorEastAsia" w:cs="宋体" w:hint="eastAsia"/>
          <w:color w:val="000000"/>
          <w:kern w:val="0"/>
          <w:sz w:val="28"/>
          <w:szCs w:val="32"/>
        </w:rPr>
        <w:t>某</w:t>
      </w:r>
      <w:r w:rsidRPr="005E1925">
        <w:rPr>
          <w:rFonts w:asciiTheme="minorEastAsia" w:eastAsiaTheme="minorEastAsia" w:hAnsiTheme="minorEastAsia" w:cs="宋体" w:hint="eastAsia"/>
          <w:color w:val="000000"/>
          <w:kern w:val="0"/>
          <w:sz w:val="28"/>
          <w:szCs w:val="32"/>
        </w:rPr>
        <w:t>明持有ni1910合约171手，2019年8月29</w:t>
      </w:r>
      <w:r w:rsidR="00696AA4" w:rsidRPr="005E1925">
        <w:rPr>
          <w:rFonts w:asciiTheme="minorEastAsia" w:eastAsiaTheme="minorEastAsia" w:hAnsiTheme="minorEastAsia" w:cs="宋体" w:hint="eastAsia"/>
          <w:color w:val="000000"/>
          <w:kern w:val="0"/>
          <w:sz w:val="28"/>
          <w:szCs w:val="32"/>
        </w:rPr>
        <w:t>日日终结算时鲍某</w:t>
      </w:r>
      <w:r w:rsidRPr="005E1925">
        <w:rPr>
          <w:rFonts w:asciiTheme="minorEastAsia" w:eastAsiaTheme="minorEastAsia" w:hAnsiTheme="minorEastAsia" w:cs="宋体" w:hint="eastAsia"/>
          <w:color w:val="000000"/>
          <w:kern w:val="0"/>
          <w:sz w:val="28"/>
          <w:szCs w:val="32"/>
        </w:rPr>
        <w:t>明</w:t>
      </w:r>
      <w:r w:rsidR="00926790" w:rsidRPr="005E1925">
        <w:rPr>
          <w:rFonts w:asciiTheme="minorEastAsia" w:eastAsiaTheme="minorEastAsia" w:hAnsiTheme="minorEastAsia" w:cs="宋体" w:hint="eastAsia"/>
          <w:color w:val="000000"/>
          <w:kern w:val="0"/>
          <w:sz w:val="28"/>
          <w:szCs w:val="32"/>
        </w:rPr>
        <w:t>期货</w:t>
      </w:r>
      <w:r w:rsidRPr="005E1925">
        <w:rPr>
          <w:rFonts w:asciiTheme="minorEastAsia" w:eastAsiaTheme="minorEastAsia" w:hAnsiTheme="minorEastAsia" w:cs="宋体" w:hint="eastAsia"/>
          <w:color w:val="000000"/>
          <w:kern w:val="0"/>
          <w:sz w:val="28"/>
          <w:szCs w:val="32"/>
        </w:rPr>
        <w:t>账户公司风险率104.69%，交易所风险率83.75%。当晚</w:t>
      </w:r>
      <w:r w:rsidR="00BF1980" w:rsidRPr="005E1925">
        <w:rPr>
          <w:rFonts w:asciiTheme="minorEastAsia" w:eastAsiaTheme="minorEastAsia" w:hAnsiTheme="minorEastAsia" w:cs="宋体" w:hint="eastAsia"/>
          <w:color w:val="000000"/>
          <w:kern w:val="0"/>
          <w:sz w:val="28"/>
          <w:szCs w:val="32"/>
        </w:rPr>
        <w:t>鲍某明</w:t>
      </w:r>
      <w:r w:rsidRPr="005E1925">
        <w:rPr>
          <w:rFonts w:asciiTheme="minorEastAsia" w:eastAsiaTheme="minorEastAsia" w:hAnsiTheme="minorEastAsia" w:cs="宋体" w:hint="eastAsia"/>
          <w:color w:val="000000"/>
          <w:kern w:val="0"/>
          <w:sz w:val="28"/>
          <w:szCs w:val="32"/>
        </w:rPr>
        <w:t>入金30万元，入金后及</w:t>
      </w:r>
      <w:r w:rsidR="00A43D49" w:rsidRPr="005E1925">
        <w:rPr>
          <w:rFonts w:asciiTheme="minorEastAsia" w:eastAsiaTheme="minorEastAsia" w:hAnsiTheme="minorEastAsia" w:cs="宋体" w:hint="eastAsia"/>
          <w:color w:val="000000"/>
          <w:kern w:val="0"/>
          <w:sz w:val="28"/>
          <w:szCs w:val="32"/>
        </w:rPr>
        <w:t>次日</w:t>
      </w:r>
      <w:r w:rsidRPr="005E1925">
        <w:rPr>
          <w:rFonts w:asciiTheme="minorEastAsia" w:eastAsiaTheme="minorEastAsia" w:hAnsiTheme="minorEastAsia" w:cs="宋体" w:hint="eastAsia"/>
          <w:color w:val="000000"/>
          <w:kern w:val="0"/>
          <w:sz w:val="28"/>
          <w:szCs w:val="32"/>
        </w:rPr>
        <w:t>8月30日日盘开盘时，</w:t>
      </w:r>
      <w:r w:rsidR="00BF1980" w:rsidRPr="005E1925">
        <w:rPr>
          <w:rFonts w:asciiTheme="minorEastAsia" w:eastAsiaTheme="minorEastAsia" w:hAnsiTheme="minorEastAsia" w:cs="宋体" w:hint="eastAsia"/>
          <w:color w:val="000000"/>
          <w:kern w:val="0"/>
          <w:sz w:val="28"/>
          <w:szCs w:val="32"/>
        </w:rPr>
        <w:t>鲍某明</w:t>
      </w:r>
      <w:r w:rsidR="00926790" w:rsidRPr="005E1925">
        <w:rPr>
          <w:rFonts w:asciiTheme="minorEastAsia" w:eastAsiaTheme="minorEastAsia" w:hAnsiTheme="minorEastAsia" w:cs="宋体" w:hint="eastAsia"/>
          <w:color w:val="000000"/>
          <w:kern w:val="0"/>
          <w:sz w:val="28"/>
          <w:szCs w:val="32"/>
        </w:rPr>
        <w:t>期货</w:t>
      </w:r>
      <w:r w:rsidRPr="005E1925">
        <w:rPr>
          <w:rFonts w:asciiTheme="minorEastAsia" w:eastAsiaTheme="minorEastAsia" w:hAnsiTheme="minorEastAsia" w:cs="宋体" w:hint="eastAsia"/>
          <w:color w:val="000000"/>
          <w:kern w:val="0"/>
          <w:sz w:val="28"/>
          <w:szCs w:val="32"/>
        </w:rPr>
        <w:t>账户公司风险率均仍大于100%，交易所风险率未达100%。8月30日14:41</w:t>
      </w:r>
      <w:r w:rsidR="00BF1980" w:rsidRPr="005E1925">
        <w:rPr>
          <w:rFonts w:asciiTheme="minorEastAsia" w:eastAsiaTheme="minorEastAsia" w:hAnsiTheme="minorEastAsia" w:cs="宋体" w:hint="eastAsia"/>
          <w:color w:val="000000"/>
          <w:kern w:val="0"/>
          <w:sz w:val="28"/>
          <w:szCs w:val="32"/>
        </w:rPr>
        <w:t>鲍某明</w:t>
      </w:r>
      <w:r w:rsidR="00926790" w:rsidRPr="005E1925">
        <w:rPr>
          <w:rFonts w:asciiTheme="minorEastAsia" w:eastAsiaTheme="minorEastAsia" w:hAnsiTheme="minorEastAsia" w:cs="宋体" w:hint="eastAsia"/>
          <w:color w:val="000000"/>
          <w:kern w:val="0"/>
          <w:sz w:val="28"/>
          <w:szCs w:val="32"/>
        </w:rPr>
        <w:t>期货</w:t>
      </w:r>
      <w:r w:rsidRPr="005E1925">
        <w:rPr>
          <w:rFonts w:asciiTheme="minorEastAsia" w:eastAsiaTheme="minorEastAsia" w:hAnsiTheme="minorEastAsia" w:cs="宋体" w:hint="eastAsia"/>
          <w:color w:val="000000"/>
          <w:kern w:val="0"/>
          <w:sz w:val="28"/>
          <w:szCs w:val="32"/>
        </w:rPr>
        <w:t>账户交易所风险率100.21%，</w:t>
      </w:r>
      <w:r w:rsidR="007C68F8" w:rsidRPr="005E1925">
        <w:rPr>
          <w:rFonts w:asciiTheme="minorEastAsia" w:eastAsiaTheme="minorEastAsia" w:hAnsiTheme="minorEastAsia" w:cs="宋体" w:hint="eastAsia"/>
          <w:color w:val="000000"/>
          <w:kern w:val="0"/>
          <w:sz w:val="28"/>
          <w:szCs w:val="32"/>
        </w:rPr>
        <w:t>光大期货</w:t>
      </w:r>
      <w:r w:rsidRPr="005E1925">
        <w:rPr>
          <w:rFonts w:asciiTheme="minorEastAsia" w:eastAsiaTheme="minorEastAsia" w:hAnsiTheme="minorEastAsia" w:cs="宋体" w:hint="eastAsia"/>
          <w:color w:val="000000"/>
          <w:kern w:val="0"/>
          <w:sz w:val="28"/>
          <w:szCs w:val="32"/>
        </w:rPr>
        <w:t>通知</w:t>
      </w:r>
      <w:r w:rsidR="00BF1980" w:rsidRPr="005E1925">
        <w:rPr>
          <w:rFonts w:asciiTheme="minorEastAsia" w:eastAsiaTheme="minorEastAsia" w:hAnsiTheme="minorEastAsia" w:cs="宋体" w:hint="eastAsia"/>
          <w:color w:val="000000"/>
          <w:kern w:val="0"/>
          <w:sz w:val="28"/>
          <w:szCs w:val="32"/>
        </w:rPr>
        <w:t>鲍某明</w:t>
      </w:r>
      <w:r w:rsidRPr="005E1925">
        <w:rPr>
          <w:rFonts w:asciiTheme="minorEastAsia" w:eastAsiaTheme="minorEastAsia" w:hAnsiTheme="minorEastAsia" w:cs="宋体" w:hint="eastAsia"/>
          <w:color w:val="000000"/>
          <w:kern w:val="0"/>
          <w:sz w:val="28"/>
          <w:szCs w:val="32"/>
        </w:rPr>
        <w:t>追加保证金，14:56左右</w:t>
      </w:r>
      <w:r w:rsidR="007C68F8" w:rsidRPr="005E1925">
        <w:rPr>
          <w:rFonts w:asciiTheme="minorEastAsia" w:eastAsiaTheme="minorEastAsia" w:hAnsiTheme="minorEastAsia" w:cs="宋体" w:hint="eastAsia"/>
          <w:color w:val="000000"/>
          <w:kern w:val="0"/>
          <w:sz w:val="28"/>
          <w:szCs w:val="32"/>
        </w:rPr>
        <w:t>光大期货</w:t>
      </w:r>
      <w:r w:rsidR="00696AA4" w:rsidRPr="005E1925">
        <w:rPr>
          <w:rFonts w:asciiTheme="minorEastAsia" w:eastAsiaTheme="minorEastAsia" w:hAnsiTheme="minorEastAsia" w:cs="宋体" w:hint="eastAsia"/>
          <w:color w:val="000000"/>
          <w:kern w:val="0"/>
          <w:sz w:val="28"/>
          <w:szCs w:val="32"/>
        </w:rPr>
        <w:t>与鲍某</w:t>
      </w:r>
      <w:r w:rsidRPr="005E1925">
        <w:rPr>
          <w:rFonts w:asciiTheme="minorEastAsia" w:eastAsiaTheme="minorEastAsia" w:hAnsiTheme="minorEastAsia" w:cs="宋体" w:hint="eastAsia"/>
          <w:color w:val="000000"/>
          <w:kern w:val="0"/>
          <w:sz w:val="28"/>
          <w:szCs w:val="32"/>
        </w:rPr>
        <w:t>明就追加保证金进行电话沟通，鲍</w:t>
      </w:r>
      <w:r w:rsidR="00696AA4" w:rsidRPr="005E1925">
        <w:rPr>
          <w:rFonts w:asciiTheme="minorEastAsia" w:eastAsiaTheme="minorEastAsia" w:hAnsiTheme="minorEastAsia" w:cs="宋体" w:hint="eastAsia"/>
          <w:color w:val="000000"/>
          <w:kern w:val="0"/>
          <w:sz w:val="28"/>
          <w:szCs w:val="32"/>
        </w:rPr>
        <w:t>某</w:t>
      </w:r>
      <w:r w:rsidRPr="005E1925">
        <w:rPr>
          <w:rFonts w:asciiTheme="minorEastAsia" w:eastAsiaTheme="minorEastAsia" w:hAnsiTheme="minorEastAsia" w:cs="宋体" w:hint="eastAsia"/>
          <w:color w:val="000000"/>
          <w:kern w:val="0"/>
          <w:sz w:val="28"/>
          <w:szCs w:val="32"/>
        </w:rPr>
        <w:t>明要求观察</w:t>
      </w:r>
      <w:proofErr w:type="gramStart"/>
      <w:r w:rsidRPr="005E1925">
        <w:rPr>
          <w:rFonts w:asciiTheme="minorEastAsia" w:eastAsiaTheme="minorEastAsia" w:hAnsiTheme="minorEastAsia" w:cs="宋体" w:hint="eastAsia"/>
          <w:color w:val="000000"/>
          <w:kern w:val="0"/>
          <w:sz w:val="28"/>
          <w:szCs w:val="32"/>
        </w:rPr>
        <w:t>夜盘行情</w:t>
      </w:r>
      <w:proofErr w:type="gramEnd"/>
      <w:r w:rsidRPr="005E1925">
        <w:rPr>
          <w:rFonts w:asciiTheme="minorEastAsia" w:eastAsiaTheme="minorEastAsia" w:hAnsiTheme="minorEastAsia" w:cs="宋体" w:hint="eastAsia"/>
          <w:color w:val="000000"/>
          <w:kern w:val="0"/>
          <w:sz w:val="28"/>
          <w:szCs w:val="32"/>
        </w:rPr>
        <w:t>再做操作，该日日终结算时</w:t>
      </w:r>
      <w:r w:rsidR="00BF1980" w:rsidRPr="005E1925">
        <w:rPr>
          <w:rFonts w:asciiTheme="minorEastAsia" w:eastAsiaTheme="minorEastAsia" w:hAnsiTheme="minorEastAsia" w:cs="宋体" w:hint="eastAsia"/>
          <w:color w:val="000000"/>
          <w:kern w:val="0"/>
          <w:sz w:val="28"/>
          <w:szCs w:val="32"/>
        </w:rPr>
        <w:t>鲍某明</w:t>
      </w:r>
      <w:r w:rsidR="00926790" w:rsidRPr="005E1925">
        <w:rPr>
          <w:rFonts w:asciiTheme="minorEastAsia" w:eastAsiaTheme="minorEastAsia" w:hAnsiTheme="minorEastAsia" w:cs="宋体" w:hint="eastAsia"/>
          <w:color w:val="000000"/>
          <w:kern w:val="0"/>
          <w:sz w:val="28"/>
          <w:szCs w:val="32"/>
        </w:rPr>
        <w:t>期货</w:t>
      </w:r>
      <w:r w:rsidRPr="005E1925">
        <w:rPr>
          <w:rFonts w:asciiTheme="minorEastAsia" w:eastAsiaTheme="minorEastAsia" w:hAnsiTheme="minorEastAsia" w:cs="宋体" w:hint="eastAsia"/>
          <w:color w:val="000000"/>
          <w:kern w:val="0"/>
          <w:sz w:val="28"/>
          <w:szCs w:val="32"/>
        </w:rPr>
        <w:t>账户公司风险率134.08%，交易所风险率111.73%</w:t>
      </w:r>
      <w:r w:rsidR="00A43D49" w:rsidRPr="005E1925">
        <w:rPr>
          <w:rFonts w:asciiTheme="minorEastAsia" w:eastAsiaTheme="minorEastAsia" w:hAnsiTheme="minorEastAsia" w:cs="宋体" w:hint="eastAsia"/>
          <w:color w:val="000000"/>
          <w:kern w:val="0"/>
          <w:sz w:val="28"/>
          <w:szCs w:val="32"/>
        </w:rPr>
        <w:t>。8月30日</w:t>
      </w:r>
      <w:r w:rsidRPr="005E1925">
        <w:rPr>
          <w:rFonts w:asciiTheme="minorEastAsia" w:eastAsiaTheme="minorEastAsia" w:hAnsiTheme="minorEastAsia" w:cs="宋体" w:hint="eastAsia"/>
          <w:color w:val="000000"/>
          <w:kern w:val="0"/>
          <w:sz w:val="28"/>
          <w:szCs w:val="32"/>
        </w:rPr>
        <w:t>日盘结束后</w:t>
      </w:r>
      <w:r w:rsidR="007C68F8" w:rsidRPr="005E1925">
        <w:rPr>
          <w:rFonts w:asciiTheme="minorEastAsia" w:eastAsiaTheme="minorEastAsia" w:hAnsiTheme="minorEastAsia" w:cs="宋体" w:hint="eastAsia"/>
          <w:color w:val="000000"/>
          <w:kern w:val="0"/>
          <w:sz w:val="28"/>
          <w:szCs w:val="32"/>
        </w:rPr>
        <w:t>光大期货</w:t>
      </w:r>
      <w:r w:rsidR="000B314D" w:rsidRPr="005E1925">
        <w:rPr>
          <w:rFonts w:asciiTheme="minorEastAsia" w:eastAsiaTheme="minorEastAsia" w:hAnsiTheme="minorEastAsia" w:cs="宋体" w:hint="eastAsia"/>
          <w:color w:val="000000"/>
          <w:kern w:val="0"/>
          <w:sz w:val="28"/>
          <w:szCs w:val="32"/>
        </w:rPr>
        <w:t>又多次通知</w:t>
      </w:r>
      <w:r w:rsidR="00BF1980" w:rsidRPr="005E1925">
        <w:rPr>
          <w:rFonts w:asciiTheme="minorEastAsia" w:eastAsiaTheme="minorEastAsia" w:hAnsiTheme="minorEastAsia" w:cs="宋体" w:hint="eastAsia"/>
          <w:color w:val="000000"/>
          <w:kern w:val="0"/>
          <w:sz w:val="28"/>
          <w:szCs w:val="32"/>
        </w:rPr>
        <w:t>鲍某明</w:t>
      </w:r>
      <w:r w:rsidRPr="005E1925">
        <w:rPr>
          <w:rFonts w:asciiTheme="minorEastAsia" w:eastAsiaTheme="minorEastAsia" w:hAnsiTheme="minorEastAsia" w:cs="宋体" w:hint="eastAsia"/>
          <w:color w:val="000000"/>
          <w:kern w:val="0"/>
          <w:sz w:val="28"/>
          <w:szCs w:val="32"/>
        </w:rPr>
        <w:t>追加保证金否则</w:t>
      </w:r>
      <w:r w:rsidR="000B314D" w:rsidRPr="005E1925">
        <w:rPr>
          <w:rFonts w:asciiTheme="minorEastAsia" w:eastAsiaTheme="minorEastAsia" w:hAnsiTheme="minorEastAsia" w:cs="宋体" w:hint="eastAsia"/>
          <w:color w:val="000000"/>
          <w:kern w:val="0"/>
          <w:sz w:val="28"/>
          <w:szCs w:val="32"/>
        </w:rPr>
        <w:t>将</w:t>
      </w:r>
      <w:r w:rsidRPr="005E1925">
        <w:rPr>
          <w:rFonts w:asciiTheme="minorEastAsia" w:eastAsiaTheme="minorEastAsia" w:hAnsiTheme="minorEastAsia" w:cs="宋体" w:hint="eastAsia"/>
          <w:color w:val="000000"/>
          <w:kern w:val="0"/>
          <w:sz w:val="28"/>
          <w:szCs w:val="32"/>
        </w:rPr>
        <w:t>强行平仓。</w:t>
      </w:r>
      <w:r w:rsidR="00A43D49" w:rsidRPr="005E1925">
        <w:rPr>
          <w:rFonts w:asciiTheme="minorEastAsia" w:eastAsiaTheme="minorEastAsia" w:hAnsiTheme="minorEastAsia" w:cs="宋体" w:hint="eastAsia"/>
          <w:color w:val="000000"/>
          <w:kern w:val="0"/>
          <w:sz w:val="28"/>
          <w:szCs w:val="32"/>
        </w:rPr>
        <w:t>8月30日</w:t>
      </w:r>
      <w:r w:rsidRPr="005E1925">
        <w:rPr>
          <w:rFonts w:asciiTheme="minorEastAsia" w:eastAsiaTheme="minorEastAsia" w:hAnsiTheme="minorEastAsia" w:cs="宋体" w:hint="eastAsia"/>
          <w:color w:val="000000"/>
          <w:kern w:val="0"/>
          <w:sz w:val="28"/>
          <w:szCs w:val="32"/>
        </w:rPr>
        <w:t>21:00:20，</w:t>
      </w:r>
      <w:r w:rsidR="007C68F8" w:rsidRPr="005E1925">
        <w:rPr>
          <w:rFonts w:asciiTheme="minorEastAsia" w:eastAsiaTheme="minorEastAsia" w:hAnsiTheme="minorEastAsia" w:cs="宋体" w:hint="eastAsia"/>
          <w:color w:val="000000"/>
          <w:kern w:val="0"/>
          <w:sz w:val="28"/>
          <w:szCs w:val="32"/>
        </w:rPr>
        <w:t>光大期货</w:t>
      </w:r>
      <w:r w:rsidRPr="005E1925">
        <w:rPr>
          <w:rFonts w:asciiTheme="minorEastAsia" w:eastAsiaTheme="minorEastAsia" w:hAnsiTheme="minorEastAsia" w:cs="宋体" w:hint="eastAsia"/>
          <w:color w:val="000000"/>
          <w:kern w:val="0"/>
          <w:sz w:val="28"/>
          <w:szCs w:val="32"/>
        </w:rPr>
        <w:t>对</w:t>
      </w:r>
      <w:r w:rsidR="00BF1980" w:rsidRPr="005E1925">
        <w:rPr>
          <w:rFonts w:asciiTheme="minorEastAsia" w:eastAsiaTheme="minorEastAsia" w:hAnsiTheme="minorEastAsia" w:cs="宋体" w:hint="eastAsia"/>
          <w:color w:val="000000"/>
          <w:kern w:val="0"/>
          <w:sz w:val="28"/>
          <w:szCs w:val="32"/>
        </w:rPr>
        <w:t>鲍某明</w:t>
      </w:r>
      <w:r w:rsidR="00926790" w:rsidRPr="005E1925">
        <w:rPr>
          <w:rFonts w:asciiTheme="minorEastAsia" w:eastAsiaTheme="minorEastAsia" w:hAnsiTheme="minorEastAsia" w:cs="宋体" w:hint="eastAsia"/>
          <w:color w:val="000000"/>
          <w:kern w:val="0"/>
          <w:sz w:val="28"/>
          <w:szCs w:val="32"/>
        </w:rPr>
        <w:t>期货</w:t>
      </w:r>
      <w:r w:rsidRPr="005E1925">
        <w:rPr>
          <w:rFonts w:asciiTheme="minorEastAsia" w:eastAsiaTheme="minorEastAsia" w:hAnsiTheme="minorEastAsia" w:cs="宋体" w:hint="eastAsia"/>
          <w:color w:val="000000"/>
          <w:kern w:val="0"/>
          <w:sz w:val="28"/>
          <w:szCs w:val="32"/>
        </w:rPr>
        <w:t>账户所持ni1910合约121手采取强行平仓措施，由于该合约于该日夜盘及9月2日日</w:t>
      </w:r>
      <w:proofErr w:type="gramStart"/>
      <w:r w:rsidRPr="005E1925">
        <w:rPr>
          <w:rFonts w:asciiTheme="minorEastAsia" w:eastAsiaTheme="minorEastAsia" w:hAnsiTheme="minorEastAsia" w:cs="宋体" w:hint="eastAsia"/>
          <w:color w:val="000000"/>
          <w:kern w:val="0"/>
          <w:sz w:val="28"/>
          <w:szCs w:val="32"/>
        </w:rPr>
        <w:t>盘一直</w:t>
      </w:r>
      <w:proofErr w:type="gramEnd"/>
      <w:r w:rsidRPr="005E1925">
        <w:rPr>
          <w:rFonts w:asciiTheme="minorEastAsia" w:eastAsiaTheme="minorEastAsia" w:hAnsiTheme="minorEastAsia" w:cs="宋体" w:hint="eastAsia"/>
          <w:color w:val="000000"/>
          <w:kern w:val="0"/>
          <w:sz w:val="28"/>
          <w:szCs w:val="32"/>
        </w:rPr>
        <w:t>处于涨停状态，未能成交。9月2日日终结算时</w:t>
      </w:r>
      <w:r w:rsidR="00BF1980" w:rsidRPr="005E1925">
        <w:rPr>
          <w:rFonts w:asciiTheme="minorEastAsia" w:eastAsiaTheme="minorEastAsia" w:hAnsiTheme="minorEastAsia" w:cs="宋体" w:hint="eastAsia"/>
          <w:color w:val="000000"/>
          <w:kern w:val="0"/>
          <w:sz w:val="28"/>
          <w:szCs w:val="32"/>
        </w:rPr>
        <w:t>鲍某明</w:t>
      </w:r>
      <w:r w:rsidR="00926790" w:rsidRPr="005E1925">
        <w:rPr>
          <w:rFonts w:asciiTheme="minorEastAsia" w:eastAsiaTheme="minorEastAsia" w:hAnsiTheme="minorEastAsia" w:cs="宋体" w:hint="eastAsia"/>
          <w:color w:val="000000"/>
          <w:kern w:val="0"/>
          <w:sz w:val="28"/>
          <w:szCs w:val="32"/>
        </w:rPr>
        <w:t>期货</w:t>
      </w:r>
      <w:r w:rsidRPr="005E1925">
        <w:rPr>
          <w:rFonts w:asciiTheme="minorEastAsia" w:eastAsiaTheme="minorEastAsia" w:hAnsiTheme="minorEastAsia" w:cs="宋体" w:hint="eastAsia"/>
          <w:color w:val="000000"/>
          <w:kern w:val="0"/>
          <w:sz w:val="28"/>
          <w:szCs w:val="32"/>
        </w:rPr>
        <w:t>账户公司风险率753.78%，交易所风险率394.84%，客户权益650906.45</w:t>
      </w:r>
      <w:r w:rsidR="00A43D49" w:rsidRPr="005E1925">
        <w:rPr>
          <w:rFonts w:asciiTheme="minorEastAsia" w:eastAsiaTheme="minorEastAsia" w:hAnsiTheme="minorEastAsia" w:cs="宋体" w:hint="eastAsia"/>
          <w:color w:val="000000"/>
          <w:kern w:val="0"/>
          <w:sz w:val="28"/>
          <w:szCs w:val="32"/>
        </w:rPr>
        <w:t>元。当日晚，</w:t>
      </w:r>
      <w:r w:rsidR="007C68F8" w:rsidRPr="005E1925">
        <w:rPr>
          <w:rFonts w:asciiTheme="minorEastAsia" w:eastAsiaTheme="minorEastAsia" w:hAnsiTheme="minorEastAsia" w:cs="宋体" w:hint="eastAsia"/>
          <w:color w:val="000000"/>
          <w:kern w:val="0"/>
          <w:sz w:val="28"/>
          <w:szCs w:val="32"/>
        </w:rPr>
        <w:t>光大期货</w:t>
      </w:r>
      <w:r w:rsidR="00A43D49" w:rsidRPr="005E1925">
        <w:rPr>
          <w:rFonts w:asciiTheme="minorEastAsia" w:eastAsiaTheme="minorEastAsia" w:hAnsiTheme="minorEastAsia" w:cs="宋体" w:hint="eastAsia"/>
          <w:color w:val="000000"/>
          <w:kern w:val="0"/>
          <w:sz w:val="28"/>
          <w:szCs w:val="32"/>
        </w:rPr>
        <w:t>经鲍某明同意，将其</w:t>
      </w:r>
      <w:r w:rsidR="00926790" w:rsidRPr="005E1925">
        <w:rPr>
          <w:rFonts w:asciiTheme="minorEastAsia" w:eastAsiaTheme="minorEastAsia" w:hAnsiTheme="minorEastAsia" w:cs="宋体" w:hint="eastAsia"/>
          <w:color w:val="000000"/>
          <w:kern w:val="0"/>
          <w:sz w:val="28"/>
          <w:szCs w:val="32"/>
        </w:rPr>
        <w:t>期货</w:t>
      </w:r>
      <w:r w:rsidRPr="005E1925">
        <w:rPr>
          <w:rFonts w:asciiTheme="minorEastAsia" w:eastAsiaTheme="minorEastAsia" w:hAnsiTheme="minorEastAsia" w:cs="宋体" w:hint="eastAsia"/>
          <w:color w:val="000000"/>
          <w:kern w:val="0"/>
          <w:sz w:val="28"/>
          <w:szCs w:val="32"/>
        </w:rPr>
        <w:t>账户全部持仓171手ni1910合约挂单强行平仓，最终以148850元成交。9月3日的交易结算单显示，</w:t>
      </w:r>
      <w:r w:rsidR="00BF1980" w:rsidRPr="005E1925">
        <w:rPr>
          <w:rFonts w:asciiTheme="minorEastAsia" w:eastAsiaTheme="minorEastAsia" w:hAnsiTheme="minorEastAsia" w:cs="宋体" w:hint="eastAsia"/>
          <w:color w:val="000000"/>
          <w:kern w:val="0"/>
          <w:sz w:val="28"/>
          <w:szCs w:val="32"/>
        </w:rPr>
        <w:t>鲍某明</w:t>
      </w:r>
      <w:r w:rsidR="00926790" w:rsidRPr="005E1925">
        <w:rPr>
          <w:rFonts w:asciiTheme="minorEastAsia" w:eastAsiaTheme="minorEastAsia" w:hAnsiTheme="minorEastAsia" w:cs="宋体" w:hint="eastAsia"/>
          <w:color w:val="000000"/>
          <w:kern w:val="0"/>
          <w:sz w:val="28"/>
          <w:szCs w:val="32"/>
        </w:rPr>
        <w:t>期货</w:t>
      </w:r>
      <w:r w:rsidRPr="005E1925">
        <w:rPr>
          <w:rFonts w:asciiTheme="minorEastAsia" w:eastAsiaTheme="minorEastAsia" w:hAnsiTheme="minorEastAsia" w:cs="宋体" w:hint="eastAsia"/>
          <w:color w:val="000000"/>
          <w:kern w:val="0"/>
          <w:sz w:val="28"/>
          <w:szCs w:val="32"/>
        </w:rPr>
        <w:t>账户内可用资金-1439790.85元，平仓盈亏-2089620元，客户权益-1439790.85元。</w:t>
      </w:r>
      <w:r w:rsidR="00696AA4" w:rsidRPr="005E1925">
        <w:rPr>
          <w:rFonts w:asciiTheme="minorEastAsia" w:eastAsiaTheme="minorEastAsia" w:hAnsiTheme="minorEastAsia" w:cs="宋体" w:hint="eastAsia"/>
          <w:color w:val="000000"/>
          <w:kern w:val="0"/>
          <w:sz w:val="28"/>
          <w:szCs w:val="32"/>
        </w:rPr>
        <w:t>该穿</w:t>
      </w:r>
      <w:proofErr w:type="gramStart"/>
      <w:r w:rsidR="00696AA4" w:rsidRPr="005E1925">
        <w:rPr>
          <w:rFonts w:asciiTheme="minorEastAsia" w:eastAsiaTheme="minorEastAsia" w:hAnsiTheme="minorEastAsia" w:cs="宋体" w:hint="eastAsia"/>
          <w:color w:val="000000"/>
          <w:kern w:val="0"/>
          <w:sz w:val="28"/>
          <w:szCs w:val="32"/>
        </w:rPr>
        <w:t>仓损失</w:t>
      </w:r>
      <w:proofErr w:type="gramEnd"/>
      <w:r w:rsidR="00696AA4" w:rsidRPr="005E1925">
        <w:rPr>
          <w:rFonts w:asciiTheme="minorEastAsia" w:eastAsiaTheme="minorEastAsia" w:hAnsiTheme="minorEastAsia" w:cs="宋体" w:hint="eastAsia"/>
          <w:color w:val="000000"/>
          <w:kern w:val="0"/>
          <w:sz w:val="28"/>
          <w:szCs w:val="32"/>
        </w:rPr>
        <w:t>1,439,790.85元由</w:t>
      </w:r>
      <w:r w:rsidR="007C68F8" w:rsidRPr="005E1925">
        <w:rPr>
          <w:rFonts w:asciiTheme="minorEastAsia" w:eastAsiaTheme="minorEastAsia" w:hAnsiTheme="minorEastAsia" w:cs="宋体" w:hint="eastAsia"/>
          <w:color w:val="000000"/>
          <w:kern w:val="0"/>
          <w:sz w:val="28"/>
          <w:szCs w:val="32"/>
        </w:rPr>
        <w:t>光大期货</w:t>
      </w:r>
      <w:r w:rsidR="00696AA4" w:rsidRPr="005E1925">
        <w:rPr>
          <w:rFonts w:asciiTheme="minorEastAsia" w:eastAsiaTheme="minorEastAsia" w:hAnsiTheme="minorEastAsia" w:cs="宋体" w:hint="eastAsia"/>
          <w:color w:val="000000"/>
          <w:kern w:val="0"/>
          <w:sz w:val="28"/>
          <w:szCs w:val="32"/>
        </w:rPr>
        <w:t>以自有资金垫付，现</w:t>
      </w:r>
      <w:r w:rsidR="007C68F8" w:rsidRPr="005E1925">
        <w:rPr>
          <w:rFonts w:asciiTheme="minorEastAsia" w:eastAsiaTheme="minorEastAsia" w:hAnsiTheme="minorEastAsia" w:cs="宋体" w:hint="eastAsia"/>
          <w:color w:val="000000"/>
          <w:kern w:val="0"/>
          <w:sz w:val="28"/>
          <w:szCs w:val="32"/>
        </w:rPr>
        <w:t>光大期货</w:t>
      </w:r>
      <w:r w:rsidR="00696AA4" w:rsidRPr="005E1925">
        <w:rPr>
          <w:rFonts w:asciiTheme="minorEastAsia" w:eastAsiaTheme="minorEastAsia" w:hAnsiTheme="minorEastAsia" w:cs="宋体" w:hint="eastAsia"/>
          <w:color w:val="000000"/>
          <w:kern w:val="0"/>
          <w:sz w:val="28"/>
          <w:szCs w:val="32"/>
        </w:rPr>
        <w:t>起诉</w:t>
      </w:r>
      <w:r w:rsidR="00BF1980" w:rsidRPr="005E1925">
        <w:rPr>
          <w:rFonts w:asciiTheme="minorEastAsia" w:eastAsiaTheme="minorEastAsia" w:hAnsiTheme="minorEastAsia" w:cs="宋体" w:hint="eastAsia"/>
          <w:color w:val="000000"/>
          <w:kern w:val="0"/>
          <w:sz w:val="28"/>
          <w:szCs w:val="32"/>
        </w:rPr>
        <w:t>鲍某明</w:t>
      </w:r>
      <w:r w:rsidR="00696AA4" w:rsidRPr="005E1925">
        <w:rPr>
          <w:rFonts w:asciiTheme="minorEastAsia" w:eastAsiaTheme="minorEastAsia" w:hAnsiTheme="minorEastAsia" w:cs="宋体" w:hint="eastAsia"/>
          <w:color w:val="000000"/>
          <w:kern w:val="0"/>
          <w:sz w:val="28"/>
          <w:szCs w:val="32"/>
        </w:rPr>
        <w:t>，请求归还垫付款项。</w:t>
      </w:r>
    </w:p>
    <w:p w:rsidR="004E5F6D" w:rsidRPr="005E1925" w:rsidRDefault="0047554F"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上海金融法院</w:t>
      </w:r>
      <w:r w:rsidR="00680327" w:rsidRPr="005E1925">
        <w:rPr>
          <w:rFonts w:asciiTheme="minorEastAsia" w:eastAsiaTheme="minorEastAsia" w:hAnsiTheme="minorEastAsia" w:cs="宋体" w:hint="eastAsia"/>
          <w:color w:val="000000"/>
          <w:kern w:val="0"/>
          <w:sz w:val="28"/>
          <w:szCs w:val="32"/>
        </w:rPr>
        <w:t>一审</w:t>
      </w:r>
      <w:r w:rsidR="007C68F8" w:rsidRPr="005E1925">
        <w:rPr>
          <w:rFonts w:asciiTheme="minorEastAsia" w:eastAsiaTheme="minorEastAsia" w:hAnsiTheme="minorEastAsia" w:cs="宋体" w:hint="eastAsia"/>
          <w:color w:val="000000"/>
          <w:kern w:val="0"/>
          <w:sz w:val="28"/>
          <w:szCs w:val="32"/>
        </w:rPr>
        <w:t>判决：</w:t>
      </w:r>
      <w:r w:rsidRPr="005E1925">
        <w:rPr>
          <w:rFonts w:asciiTheme="minorEastAsia" w:eastAsiaTheme="minorEastAsia" w:hAnsiTheme="minorEastAsia" w:cs="宋体" w:hint="eastAsia"/>
          <w:color w:val="000000"/>
          <w:kern w:val="0"/>
          <w:sz w:val="28"/>
          <w:szCs w:val="32"/>
        </w:rPr>
        <w:t>鲍某</w:t>
      </w:r>
      <w:r w:rsidR="007C68F8" w:rsidRPr="005E1925">
        <w:rPr>
          <w:rFonts w:asciiTheme="minorEastAsia" w:eastAsiaTheme="minorEastAsia" w:hAnsiTheme="minorEastAsia" w:cs="宋体" w:hint="eastAsia"/>
          <w:color w:val="000000"/>
          <w:kern w:val="0"/>
          <w:sz w:val="28"/>
          <w:szCs w:val="32"/>
        </w:rPr>
        <w:t>明应偿还光大期货</w:t>
      </w:r>
      <w:r w:rsidRPr="005E1925">
        <w:rPr>
          <w:rFonts w:asciiTheme="minorEastAsia" w:eastAsiaTheme="minorEastAsia" w:hAnsiTheme="minorEastAsia" w:cs="宋体" w:hint="eastAsia"/>
          <w:color w:val="000000"/>
          <w:kern w:val="0"/>
          <w:sz w:val="28"/>
          <w:szCs w:val="32"/>
        </w:rPr>
        <w:t>1,439,790.85元</w:t>
      </w:r>
      <w:r w:rsidR="00A61F81" w:rsidRPr="005E1925">
        <w:rPr>
          <w:rFonts w:asciiTheme="minorEastAsia" w:eastAsiaTheme="minorEastAsia" w:hAnsiTheme="minorEastAsia" w:cs="宋体" w:hint="eastAsia"/>
          <w:color w:val="000000"/>
          <w:kern w:val="0"/>
          <w:sz w:val="28"/>
          <w:szCs w:val="32"/>
        </w:rPr>
        <w:t>及相应利息</w:t>
      </w:r>
      <w:r w:rsidRPr="005E1925">
        <w:rPr>
          <w:rFonts w:asciiTheme="minorEastAsia" w:eastAsiaTheme="minorEastAsia" w:hAnsiTheme="minorEastAsia" w:cs="宋体" w:hint="eastAsia"/>
          <w:color w:val="000000"/>
          <w:kern w:val="0"/>
          <w:sz w:val="28"/>
          <w:szCs w:val="32"/>
        </w:rPr>
        <w:t>。</w:t>
      </w:r>
      <w:r w:rsidR="000C393D" w:rsidRPr="005E1925">
        <w:rPr>
          <w:rFonts w:asciiTheme="minorEastAsia" w:eastAsiaTheme="minorEastAsia" w:hAnsiTheme="minorEastAsia" w:cs="宋体" w:hint="eastAsia"/>
          <w:color w:val="000000"/>
          <w:kern w:val="0"/>
          <w:sz w:val="28"/>
          <w:szCs w:val="32"/>
        </w:rPr>
        <w:t>宣判</w:t>
      </w:r>
      <w:r w:rsidR="000C393D" w:rsidRPr="005E1925">
        <w:rPr>
          <w:rFonts w:asciiTheme="minorEastAsia" w:eastAsiaTheme="minorEastAsia" w:hAnsiTheme="minorEastAsia" w:cs="宋体"/>
          <w:color w:val="000000"/>
          <w:kern w:val="0"/>
          <w:sz w:val="28"/>
          <w:szCs w:val="32"/>
        </w:rPr>
        <w:t>后，</w:t>
      </w:r>
      <w:r w:rsidR="007D22A9" w:rsidRPr="005E1925">
        <w:rPr>
          <w:rFonts w:asciiTheme="minorEastAsia" w:eastAsiaTheme="minorEastAsia" w:hAnsiTheme="minorEastAsia" w:cs="宋体" w:hint="eastAsia"/>
          <w:color w:val="000000"/>
          <w:kern w:val="0"/>
          <w:sz w:val="28"/>
          <w:szCs w:val="32"/>
        </w:rPr>
        <w:t>当事人</w:t>
      </w:r>
      <w:r w:rsidR="000C393D" w:rsidRPr="005E1925">
        <w:rPr>
          <w:rFonts w:asciiTheme="minorEastAsia" w:eastAsiaTheme="minorEastAsia" w:hAnsiTheme="minorEastAsia" w:cs="宋体"/>
          <w:color w:val="000000"/>
          <w:kern w:val="0"/>
          <w:sz w:val="28"/>
          <w:szCs w:val="32"/>
        </w:rPr>
        <w:t>均</w:t>
      </w:r>
      <w:r w:rsidR="000C393D" w:rsidRPr="005E1925">
        <w:rPr>
          <w:rFonts w:asciiTheme="minorEastAsia" w:eastAsiaTheme="minorEastAsia" w:hAnsiTheme="minorEastAsia" w:cs="宋体" w:hint="eastAsia"/>
          <w:color w:val="000000"/>
          <w:kern w:val="0"/>
          <w:sz w:val="28"/>
          <w:szCs w:val="32"/>
        </w:rPr>
        <w:t>未</w:t>
      </w:r>
      <w:r w:rsidR="00143067" w:rsidRPr="005E1925">
        <w:rPr>
          <w:rFonts w:asciiTheme="minorEastAsia" w:eastAsiaTheme="minorEastAsia" w:hAnsiTheme="minorEastAsia" w:cs="宋体" w:hint="eastAsia"/>
          <w:color w:val="000000"/>
          <w:kern w:val="0"/>
          <w:sz w:val="28"/>
          <w:szCs w:val="32"/>
        </w:rPr>
        <w:t>提出</w:t>
      </w:r>
      <w:r w:rsidR="000C393D" w:rsidRPr="005E1925">
        <w:rPr>
          <w:rFonts w:asciiTheme="minorEastAsia" w:eastAsiaTheme="minorEastAsia" w:hAnsiTheme="minorEastAsia" w:cs="宋体" w:hint="eastAsia"/>
          <w:color w:val="000000"/>
          <w:kern w:val="0"/>
          <w:sz w:val="28"/>
          <w:szCs w:val="32"/>
        </w:rPr>
        <w:t>上诉</w:t>
      </w:r>
      <w:r w:rsidR="000C393D" w:rsidRPr="005E1925">
        <w:rPr>
          <w:rFonts w:asciiTheme="minorEastAsia" w:eastAsiaTheme="minorEastAsia" w:hAnsiTheme="minorEastAsia" w:cs="宋体"/>
          <w:color w:val="000000"/>
          <w:kern w:val="0"/>
          <w:sz w:val="28"/>
          <w:szCs w:val="32"/>
        </w:rPr>
        <w:t>，</w:t>
      </w:r>
      <w:r w:rsidR="000C393D" w:rsidRPr="005E1925">
        <w:rPr>
          <w:rFonts w:asciiTheme="minorEastAsia" w:eastAsiaTheme="minorEastAsia" w:hAnsiTheme="minorEastAsia" w:cs="宋体" w:hint="eastAsia"/>
          <w:color w:val="000000"/>
          <w:kern w:val="0"/>
          <w:sz w:val="28"/>
          <w:szCs w:val="32"/>
        </w:rPr>
        <w:t>一审</w:t>
      </w:r>
      <w:r w:rsidR="000C393D" w:rsidRPr="005E1925">
        <w:rPr>
          <w:rFonts w:asciiTheme="minorEastAsia" w:eastAsiaTheme="minorEastAsia" w:hAnsiTheme="minorEastAsia" w:cs="宋体"/>
          <w:color w:val="000000"/>
          <w:kern w:val="0"/>
          <w:sz w:val="28"/>
          <w:szCs w:val="32"/>
        </w:rPr>
        <w:t>判决已</w:t>
      </w:r>
      <w:r w:rsidR="000C393D" w:rsidRPr="005E1925">
        <w:rPr>
          <w:rFonts w:asciiTheme="minorEastAsia" w:eastAsiaTheme="minorEastAsia" w:hAnsiTheme="minorEastAsia" w:cs="宋体" w:hint="eastAsia"/>
          <w:color w:val="000000"/>
          <w:kern w:val="0"/>
          <w:sz w:val="28"/>
          <w:szCs w:val="32"/>
        </w:rPr>
        <w:t>生效</w:t>
      </w:r>
      <w:r w:rsidR="000C393D" w:rsidRPr="005E1925">
        <w:rPr>
          <w:rFonts w:asciiTheme="minorEastAsia" w:eastAsiaTheme="minorEastAsia" w:hAnsiTheme="minorEastAsia" w:cs="宋体"/>
          <w:color w:val="000000"/>
          <w:kern w:val="0"/>
          <w:sz w:val="28"/>
          <w:szCs w:val="32"/>
        </w:rPr>
        <w:t>。</w:t>
      </w:r>
    </w:p>
    <w:p w:rsidR="009C0D9C" w:rsidRDefault="009C0D9C" w:rsidP="0047554F">
      <w:pPr>
        <w:widowControl/>
        <w:spacing w:line="560" w:lineRule="exact"/>
        <w:jc w:val="center"/>
        <w:rPr>
          <w:rFonts w:ascii="黑体" w:eastAsia="黑体" w:hAnsi="黑体"/>
          <w:color w:val="000000"/>
          <w:kern w:val="0"/>
          <w:sz w:val="32"/>
          <w:szCs w:val="32"/>
        </w:rPr>
      </w:pPr>
    </w:p>
    <w:p w:rsidR="009C0D9C" w:rsidRPr="007D22A9" w:rsidRDefault="00197E71" w:rsidP="002C2B26">
      <w:pPr>
        <w:widowControl/>
        <w:spacing w:line="560" w:lineRule="exact"/>
        <w:ind w:firstLineChars="200" w:firstLine="640"/>
        <w:rPr>
          <w:rFonts w:ascii="黑体" w:eastAsia="黑体" w:hAnsi="黑体"/>
          <w:color w:val="000000"/>
          <w:kern w:val="0"/>
          <w:sz w:val="32"/>
          <w:szCs w:val="32"/>
        </w:rPr>
      </w:pPr>
      <w:r w:rsidRPr="00197E71">
        <w:rPr>
          <w:rFonts w:ascii="黑体" w:eastAsia="黑体" w:hAnsi="黑体" w:hint="eastAsia"/>
          <w:color w:val="000000"/>
          <w:kern w:val="0"/>
          <w:sz w:val="32"/>
          <w:szCs w:val="32"/>
        </w:rPr>
        <w:t>【专家点评】</w:t>
      </w:r>
    </w:p>
    <w:p w:rsidR="00494456" w:rsidRPr="005E1925" w:rsidRDefault="00494456" w:rsidP="005E1925">
      <w:pPr>
        <w:widowControl/>
        <w:spacing w:line="560" w:lineRule="exact"/>
        <w:ind w:firstLineChars="200" w:firstLine="560"/>
        <w:rPr>
          <w:rFonts w:ascii="黑体" w:eastAsia="黑体" w:hAnsi="黑体"/>
          <w:color w:val="000000"/>
          <w:kern w:val="0"/>
          <w:sz w:val="28"/>
          <w:szCs w:val="32"/>
        </w:rPr>
      </w:pPr>
      <w:r w:rsidRPr="005E1925">
        <w:rPr>
          <w:rFonts w:ascii="黑体" w:eastAsia="黑体" w:hAnsi="黑体" w:hint="eastAsia"/>
          <w:color w:val="000000"/>
          <w:kern w:val="0"/>
          <w:sz w:val="28"/>
          <w:szCs w:val="32"/>
        </w:rPr>
        <w:t>点评人：陆文山，上海期货交易所党组副书记、监事长</w:t>
      </w:r>
    </w:p>
    <w:p w:rsidR="00494456" w:rsidRPr="005E1925" w:rsidRDefault="00494456"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强行平仓是期货市场控制风险的重要手段，也是期货市场的基础性制度。因强行平仓引起的争议是目前期货市场纠纷的主要类型之一。最高人民法院通过相关司法解释，虽然明确了强行平仓的适用条件，但期货市场运行复杂多变的特点决定了司法实务中尚存许多与强行平仓相关的问题亟待解决。本案中，当事人双方对期货公司强行平仓权行使的条件已经成就并无分歧，其分歧主要在于期货公司行使强行平仓是否及时，以及因行使强行平仓导致的穿</w:t>
      </w:r>
      <w:proofErr w:type="gramStart"/>
      <w:r w:rsidRPr="005E1925">
        <w:rPr>
          <w:rFonts w:asciiTheme="minorEastAsia" w:eastAsiaTheme="minorEastAsia" w:hAnsiTheme="minorEastAsia" w:cs="宋体" w:hint="eastAsia"/>
          <w:color w:val="000000"/>
          <w:kern w:val="0"/>
          <w:sz w:val="28"/>
          <w:szCs w:val="32"/>
        </w:rPr>
        <w:t>仓损失</w:t>
      </w:r>
      <w:proofErr w:type="gramEnd"/>
      <w:r w:rsidRPr="005E1925">
        <w:rPr>
          <w:rFonts w:asciiTheme="minorEastAsia" w:eastAsiaTheme="minorEastAsia" w:hAnsiTheme="minorEastAsia" w:cs="宋体" w:hint="eastAsia"/>
          <w:color w:val="000000"/>
          <w:kern w:val="0"/>
          <w:sz w:val="28"/>
          <w:szCs w:val="32"/>
        </w:rPr>
        <w:t>应由何方承担。对此，本案确立了系统思维的审判思路，对强行平仓的性质、期货保证金制度的功能以及产生穿</w:t>
      </w:r>
      <w:proofErr w:type="gramStart"/>
      <w:r w:rsidRPr="005E1925">
        <w:rPr>
          <w:rFonts w:asciiTheme="minorEastAsia" w:eastAsiaTheme="minorEastAsia" w:hAnsiTheme="minorEastAsia" w:cs="宋体" w:hint="eastAsia"/>
          <w:color w:val="000000"/>
          <w:kern w:val="0"/>
          <w:sz w:val="28"/>
          <w:szCs w:val="32"/>
        </w:rPr>
        <w:t>仓损失</w:t>
      </w:r>
      <w:proofErr w:type="gramEnd"/>
      <w:r w:rsidRPr="005E1925">
        <w:rPr>
          <w:rFonts w:asciiTheme="minorEastAsia" w:eastAsiaTheme="minorEastAsia" w:hAnsiTheme="minorEastAsia" w:cs="宋体" w:hint="eastAsia"/>
          <w:color w:val="000000"/>
          <w:kern w:val="0"/>
          <w:sz w:val="28"/>
          <w:szCs w:val="32"/>
        </w:rPr>
        <w:t>的原因等予以综合分析，对强行平仓作为期货市场维持安全运行的基础性制度作了确认。这也是成熟市场普遍采用的制度。期货公司为防止客户损失扩大而采取了必要的措施，也是为维护交易、结算正常运行，履行会员管理职责与清算结算安全的常规措施。据此，期货公司在履行相应的通知义务并给予了客户</w:t>
      </w:r>
      <w:proofErr w:type="gramStart"/>
      <w:r w:rsidRPr="005E1925">
        <w:rPr>
          <w:rFonts w:asciiTheme="minorEastAsia" w:eastAsiaTheme="minorEastAsia" w:hAnsiTheme="minorEastAsia" w:cs="宋体" w:hint="eastAsia"/>
          <w:color w:val="000000"/>
          <w:kern w:val="0"/>
          <w:sz w:val="28"/>
          <w:szCs w:val="32"/>
        </w:rPr>
        <w:t>合理履行</w:t>
      </w:r>
      <w:proofErr w:type="gramEnd"/>
      <w:r w:rsidRPr="005E1925">
        <w:rPr>
          <w:rFonts w:asciiTheme="minorEastAsia" w:eastAsiaTheme="minorEastAsia" w:hAnsiTheme="minorEastAsia" w:cs="宋体" w:hint="eastAsia"/>
          <w:color w:val="000000"/>
          <w:kern w:val="0"/>
          <w:sz w:val="28"/>
          <w:szCs w:val="32"/>
        </w:rPr>
        <w:t>期限，客户未能采取相关处置措施的，期货公司依规实施强行平仓措施，并无不当。而由于市场行情变化导致平仓不能或无法实现的，相关的穿</w:t>
      </w:r>
      <w:proofErr w:type="gramStart"/>
      <w:r w:rsidRPr="005E1925">
        <w:rPr>
          <w:rFonts w:asciiTheme="minorEastAsia" w:eastAsiaTheme="minorEastAsia" w:hAnsiTheme="minorEastAsia" w:cs="宋体" w:hint="eastAsia"/>
          <w:color w:val="000000"/>
          <w:kern w:val="0"/>
          <w:sz w:val="28"/>
          <w:szCs w:val="32"/>
        </w:rPr>
        <w:t>仓损失</w:t>
      </w:r>
      <w:proofErr w:type="gramEnd"/>
      <w:r w:rsidRPr="005E1925">
        <w:rPr>
          <w:rFonts w:asciiTheme="minorEastAsia" w:eastAsiaTheme="minorEastAsia" w:hAnsiTheme="minorEastAsia" w:cs="宋体" w:hint="eastAsia"/>
          <w:color w:val="000000"/>
          <w:kern w:val="0"/>
          <w:sz w:val="28"/>
          <w:szCs w:val="32"/>
        </w:rPr>
        <w:t>由客户承担，合理合</w:t>
      </w:r>
      <w:proofErr w:type="gramStart"/>
      <w:r w:rsidRPr="005E1925">
        <w:rPr>
          <w:rFonts w:asciiTheme="minorEastAsia" w:eastAsiaTheme="minorEastAsia" w:hAnsiTheme="minorEastAsia" w:cs="宋体" w:hint="eastAsia"/>
          <w:color w:val="000000"/>
          <w:kern w:val="0"/>
          <w:sz w:val="28"/>
          <w:szCs w:val="32"/>
        </w:rPr>
        <w:t>规</w:t>
      </w:r>
      <w:proofErr w:type="gramEnd"/>
      <w:r w:rsidRPr="005E1925">
        <w:rPr>
          <w:rFonts w:asciiTheme="minorEastAsia" w:eastAsiaTheme="minorEastAsia" w:hAnsiTheme="minorEastAsia" w:cs="宋体" w:hint="eastAsia"/>
          <w:color w:val="000000"/>
          <w:kern w:val="0"/>
          <w:sz w:val="28"/>
          <w:szCs w:val="32"/>
        </w:rPr>
        <w:t>。上述裁判标准，不仅丰富了强行平仓的适用场景，对同类案件的审理具有较大的参考价值，也为期货市场基础性制度的完善提供了有益的司法借鉴。</w:t>
      </w:r>
    </w:p>
    <w:p w:rsidR="00926BBB" w:rsidRPr="00494456" w:rsidRDefault="00926BBB"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926BBB" w:rsidRDefault="00926BBB"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2C2B26" w:rsidRDefault="002C2B26" w:rsidP="005B2F8A">
      <w:pPr>
        <w:adjustRightInd w:val="0"/>
        <w:snapToGrid w:val="0"/>
        <w:spacing w:line="560" w:lineRule="exact"/>
        <w:ind w:firstLineChars="200" w:firstLine="640"/>
        <w:rPr>
          <w:rFonts w:asciiTheme="minorEastAsia" w:eastAsiaTheme="minorEastAsia" w:hAnsiTheme="minorEastAsia" w:cs="宋体"/>
          <w:color w:val="000000"/>
          <w:kern w:val="0"/>
          <w:sz w:val="32"/>
          <w:szCs w:val="32"/>
        </w:rPr>
      </w:pPr>
    </w:p>
    <w:p w:rsidR="0047554F" w:rsidRPr="005E1925" w:rsidRDefault="00AE5C6A" w:rsidP="0047554F">
      <w:pPr>
        <w:widowControl/>
        <w:spacing w:line="560" w:lineRule="exact"/>
        <w:jc w:val="center"/>
        <w:rPr>
          <w:rFonts w:ascii="黑体" w:eastAsia="黑体" w:hAnsi="黑体"/>
          <w:color w:val="000000"/>
          <w:kern w:val="0"/>
          <w:sz w:val="32"/>
          <w:szCs w:val="36"/>
        </w:rPr>
      </w:pPr>
      <w:r w:rsidRPr="005E1925">
        <w:rPr>
          <w:rFonts w:ascii="黑体" w:eastAsia="黑体" w:hAnsi="黑体" w:hint="eastAsia"/>
          <w:color w:val="000000"/>
          <w:kern w:val="0"/>
          <w:sz w:val="32"/>
          <w:szCs w:val="36"/>
        </w:rPr>
        <w:t>信用卡收单机构与发卡行之间构成资金清算合同法律关系并据此承担相应合同义务</w:t>
      </w:r>
    </w:p>
    <w:p w:rsidR="00CE7F0B" w:rsidRPr="005E1925" w:rsidRDefault="0047554F" w:rsidP="0047554F">
      <w:pPr>
        <w:widowControl/>
        <w:spacing w:line="560" w:lineRule="exact"/>
        <w:jc w:val="center"/>
        <w:rPr>
          <w:rFonts w:asciiTheme="minorEastAsia" w:eastAsiaTheme="minorEastAsia" w:hAnsiTheme="minorEastAsia" w:cs="宋体"/>
          <w:color w:val="000000"/>
          <w:kern w:val="0"/>
          <w:sz w:val="28"/>
          <w:szCs w:val="32"/>
        </w:rPr>
      </w:pPr>
      <w:r w:rsidRPr="005E1925">
        <w:rPr>
          <w:rFonts w:ascii="仿宋_GB2312" w:eastAsia="仿宋_GB2312" w:hAnsi="宋体" w:hint="eastAsia"/>
          <w:color w:val="000000"/>
          <w:kern w:val="0"/>
          <w:sz w:val="28"/>
          <w:szCs w:val="32"/>
        </w:rPr>
        <w:t>——</w:t>
      </w:r>
      <w:r w:rsidR="007C68F8" w:rsidRPr="005E1925">
        <w:rPr>
          <w:rFonts w:asciiTheme="minorEastAsia" w:eastAsiaTheme="minorEastAsia" w:hAnsiTheme="minorEastAsia" w:cs="宋体" w:hint="eastAsia"/>
          <w:color w:val="000000"/>
          <w:kern w:val="0"/>
          <w:sz w:val="28"/>
          <w:szCs w:val="32"/>
        </w:rPr>
        <w:t>上诉人卡</w:t>
      </w:r>
      <w:proofErr w:type="gramStart"/>
      <w:r w:rsidR="007C68F8" w:rsidRPr="005E1925">
        <w:rPr>
          <w:rFonts w:asciiTheme="minorEastAsia" w:eastAsiaTheme="minorEastAsia" w:hAnsiTheme="minorEastAsia" w:cs="宋体" w:hint="eastAsia"/>
          <w:color w:val="000000"/>
          <w:kern w:val="0"/>
          <w:sz w:val="28"/>
          <w:szCs w:val="32"/>
        </w:rPr>
        <w:t>友支付</w:t>
      </w:r>
      <w:proofErr w:type="gramEnd"/>
      <w:r w:rsidR="007C68F8" w:rsidRPr="005E1925">
        <w:rPr>
          <w:rFonts w:asciiTheme="minorEastAsia" w:eastAsiaTheme="minorEastAsia" w:hAnsiTheme="minorEastAsia" w:cs="宋体" w:hint="eastAsia"/>
          <w:color w:val="000000"/>
          <w:kern w:val="0"/>
          <w:sz w:val="28"/>
          <w:szCs w:val="32"/>
        </w:rPr>
        <w:t>服务有限公司与被上诉人交通银行</w:t>
      </w:r>
      <w:r w:rsidR="00B032F4" w:rsidRPr="005E1925">
        <w:rPr>
          <w:rFonts w:asciiTheme="minorEastAsia" w:eastAsiaTheme="minorEastAsia" w:hAnsiTheme="minorEastAsia" w:cs="宋体" w:hint="eastAsia"/>
          <w:color w:val="000000"/>
          <w:kern w:val="0"/>
          <w:sz w:val="28"/>
          <w:szCs w:val="32"/>
        </w:rPr>
        <w:t>股份</w:t>
      </w:r>
      <w:r w:rsidR="007C68F8" w:rsidRPr="005E1925">
        <w:rPr>
          <w:rFonts w:asciiTheme="minorEastAsia" w:eastAsiaTheme="minorEastAsia" w:hAnsiTheme="minorEastAsia" w:cs="宋体" w:hint="eastAsia"/>
          <w:color w:val="000000"/>
          <w:kern w:val="0"/>
          <w:sz w:val="28"/>
          <w:szCs w:val="32"/>
        </w:rPr>
        <w:t>有限公司太平洋信用卡中心其他所有权纠纷案</w:t>
      </w:r>
    </w:p>
    <w:p w:rsidR="00AE5C6A" w:rsidRPr="00CE7F0B" w:rsidRDefault="00AE5C6A" w:rsidP="0047554F">
      <w:pPr>
        <w:widowControl/>
        <w:spacing w:line="560" w:lineRule="exact"/>
        <w:jc w:val="center"/>
        <w:rPr>
          <w:rFonts w:ascii="仿宋_GB2312" w:eastAsia="仿宋_GB2312" w:hAnsi="宋体"/>
          <w:color w:val="000000"/>
          <w:kern w:val="0"/>
          <w:sz w:val="32"/>
          <w:szCs w:val="32"/>
        </w:rPr>
      </w:pPr>
    </w:p>
    <w:p w:rsidR="000B5303" w:rsidRPr="007002AD" w:rsidRDefault="00197E71" w:rsidP="000A7638">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w:t>
      </w:r>
      <w:r w:rsidR="000B5303">
        <w:rPr>
          <w:rFonts w:ascii="黑体" w:eastAsia="黑体" w:hAnsi="黑体" w:hint="eastAsia"/>
          <w:sz w:val="32"/>
          <w:szCs w:val="32"/>
        </w:rPr>
        <w:t>基本案情</w:t>
      </w:r>
      <w:r>
        <w:rPr>
          <w:rFonts w:ascii="黑体" w:eastAsia="黑体" w:hAnsi="黑体" w:hint="eastAsia"/>
          <w:sz w:val="32"/>
          <w:szCs w:val="32"/>
        </w:rPr>
        <w:t>】</w:t>
      </w:r>
    </w:p>
    <w:p w:rsidR="000B5303" w:rsidRPr="005E1925" w:rsidRDefault="0063699C"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交通银行股份有限公司太平洋信用卡中心（以下简称交行信用卡中心）</w:t>
      </w:r>
      <w:r w:rsidR="005F1E43" w:rsidRPr="005E1925">
        <w:rPr>
          <w:rFonts w:asciiTheme="minorEastAsia" w:eastAsiaTheme="minorEastAsia" w:hAnsiTheme="minorEastAsia" w:cs="宋体" w:hint="eastAsia"/>
          <w:color w:val="000000"/>
          <w:kern w:val="0"/>
          <w:sz w:val="28"/>
          <w:szCs w:val="32"/>
        </w:rPr>
        <w:t>系某信用卡的发卡机构</w:t>
      </w:r>
      <w:r w:rsidR="00BF0825" w:rsidRPr="005E1925">
        <w:rPr>
          <w:rFonts w:asciiTheme="minorEastAsia" w:eastAsiaTheme="minorEastAsia" w:hAnsiTheme="minorEastAsia" w:cs="宋体" w:hint="eastAsia"/>
          <w:color w:val="000000"/>
          <w:kern w:val="0"/>
          <w:sz w:val="28"/>
          <w:szCs w:val="32"/>
        </w:rPr>
        <w:t>，</w:t>
      </w:r>
      <w:r w:rsidRPr="005E1925">
        <w:rPr>
          <w:rFonts w:asciiTheme="minorEastAsia" w:eastAsiaTheme="minorEastAsia" w:hAnsiTheme="minorEastAsia" w:cs="宋体" w:hint="eastAsia"/>
          <w:color w:val="000000"/>
          <w:kern w:val="0"/>
          <w:sz w:val="28"/>
          <w:szCs w:val="32"/>
        </w:rPr>
        <w:t>卡</w:t>
      </w:r>
      <w:proofErr w:type="gramStart"/>
      <w:r w:rsidRPr="005E1925">
        <w:rPr>
          <w:rFonts w:asciiTheme="minorEastAsia" w:eastAsiaTheme="minorEastAsia" w:hAnsiTheme="minorEastAsia" w:cs="宋体" w:hint="eastAsia"/>
          <w:color w:val="000000"/>
          <w:kern w:val="0"/>
          <w:sz w:val="28"/>
          <w:szCs w:val="32"/>
        </w:rPr>
        <w:t>友支付</w:t>
      </w:r>
      <w:proofErr w:type="gramEnd"/>
      <w:r w:rsidRPr="005E1925">
        <w:rPr>
          <w:rFonts w:asciiTheme="minorEastAsia" w:eastAsiaTheme="minorEastAsia" w:hAnsiTheme="minorEastAsia" w:cs="宋体" w:hint="eastAsia"/>
          <w:color w:val="000000"/>
          <w:kern w:val="0"/>
          <w:sz w:val="28"/>
          <w:szCs w:val="32"/>
        </w:rPr>
        <w:t>服务有限公司（以下简称卡友公司）</w:t>
      </w:r>
      <w:r w:rsidR="00BF0825" w:rsidRPr="005E1925">
        <w:rPr>
          <w:rFonts w:asciiTheme="minorEastAsia" w:eastAsiaTheme="minorEastAsia" w:hAnsiTheme="minorEastAsia" w:cs="宋体" w:hint="eastAsia"/>
          <w:color w:val="000000"/>
          <w:kern w:val="0"/>
          <w:sz w:val="28"/>
          <w:szCs w:val="32"/>
        </w:rPr>
        <w:t>系</w:t>
      </w:r>
      <w:r w:rsidR="00933901" w:rsidRPr="005E1925">
        <w:rPr>
          <w:rFonts w:asciiTheme="minorEastAsia" w:eastAsiaTheme="minorEastAsia" w:hAnsiTheme="minorEastAsia" w:cs="宋体" w:hint="eastAsia"/>
          <w:color w:val="000000"/>
          <w:kern w:val="0"/>
          <w:sz w:val="28"/>
          <w:szCs w:val="32"/>
        </w:rPr>
        <w:t>经批准开展银行卡收单业务的机构，二者均系中国银联的会员单位，均同意接受中国银联制定的各项业务规则约束。</w:t>
      </w:r>
    </w:p>
    <w:p w:rsidR="004D2B02" w:rsidRPr="005E1925" w:rsidRDefault="004D2B02"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根据中国银联制定的《中国银联信用卡还款业务开办指南》规定，信用卡还款业务是持卡人从借记卡向信用卡进行</w:t>
      </w:r>
      <w:r w:rsidR="001A6099" w:rsidRPr="005E1925">
        <w:rPr>
          <w:rFonts w:asciiTheme="minorEastAsia" w:eastAsiaTheme="minorEastAsia" w:hAnsiTheme="minorEastAsia" w:cs="宋体" w:hint="eastAsia"/>
          <w:color w:val="000000"/>
          <w:kern w:val="0"/>
          <w:sz w:val="28"/>
          <w:szCs w:val="32"/>
        </w:rPr>
        <w:t>款项支付的银</w:t>
      </w:r>
      <w:proofErr w:type="gramStart"/>
      <w:r w:rsidR="001A6099" w:rsidRPr="005E1925">
        <w:rPr>
          <w:rFonts w:asciiTheme="minorEastAsia" w:eastAsiaTheme="minorEastAsia" w:hAnsiTheme="minorEastAsia" w:cs="宋体" w:hint="eastAsia"/>
          <w:color w:val="000000"/>
          <w:kern w:val="0"/>
          <w:sz w:val="28"/>
          <w:szCs w:val="32"/>
        </w:rPr>
        <w:t>联卡跨行业务</w:t>
      </w:r>
      <w:proofErr w:type="gramEnd"/>
      <w:r w:rsidR="001A6099" w:rsidRPr="005E1925">
        <w:rPr>
          <w:rFonts w:asciiTheme="minorEastAsia" w:eastAsiaTheme="minorEastAsia" w:hAnsiTheme="minorEastAsia" w:cs="宋体" w:hint="eastAsia"/>
          <w:color w:val="000000"/>
          <w:kern w:val="0"/>
          <w:sz w:val="28"/>
          <w:szCs w:val="32"/>
        </w:rPr>
        <w:t>。信用卡还款交易的</w:t>
      </w:r>
      <w:r w:rsidRPr="005E1925">
        <w:rPr>
          <w:rFonts w:asciiTheme="minorEastAsia" w:eastAsiaTheme="minorEastAsia" w:hAnsiTheme="minorEastAsia" w:cs="宋体" w:hint="eastAsia"/>
          <w:color w:val="000000"/>
          <w:kern w:val="0"/>
          <w:sz w:val="28"/>
          <w:szCs w:val="32"/>
        </w:rPr>
        <w:t>F18域商户类别码（MCC）为9498</w:t>
      </w:r>
      <w:r w:rsidR="001A6099" w:rsidRPr="005E1925">
        <w:rPr>
          <w:rFonts w:asciiTheme="minorEastAsia" w:eastAsiaTheme="minorEastAsia" w:hAnsiTheme="minorEastAsia" w:cs="宋体" w:hint="eastAsia"/>
          <w:color w:val="000000"/>
          <w:kern w:val="0"/>
          <w:sz w:val="28"/>
          <w:szCs w:val="32"/>
        </w:rPr>
        <w:t>，</w:t>
      </w:r>
      <w:r w:rsidRPr="005E1925">
        <w:rPr>
          <w:rFonts w:asciiTheme="minorEastAsia" w:eastAsiaTheme="minorEastAsia" w:hAnsiTheme="minorEastAsia" w:cs="宋体" w:hint="eastAsia"/>
          <w:color w:val="000000"/>
          <w:kern w:val="0"/>
          <w:sz w:val="28"/>
          <w:szCs w:val="32"/>
        </w:rPr>
        <w:t>统一</w:t>
      </w:r>
      <w:r w:rsidR="001A6099" w:rsidRPr="005E1925">
        <w:rPr>
          <w:rFonts w:asciiTheme="minorEastAsia" w:eastAsiaTheme="minorEastAsia" w:hAnsiTheme="minorEastAsia" w:cs="宋体" w:hint="eastAsia"/>
          <w:color w:val="000000"/>
          <w:kern w:val="0"/>
          <w:sz w:val="28"/>
          <w:szCs w:val="32"/>
        </w:rPr>
        <w:t>计费</w:t>
      </w:r>
      <w:r w:rsidRPr="005E1925">
        <w:rPr>
          <w:rFonts w:asciiTheme="minorEastAsia" w:eastAsiaTheme="minorEastAsia" w:hAnsiTheme="minorEastAsia" w:cs="宋体" w:hint="eastAsia"/>
          <w:color w:val="000000"/>
          <w:kern w:val="0"/>
          <w:sz w:val="28"/>
          <w:szCs w:val="32"/>
        </w:rPr>
        <w:t>执行标准为：借记卡发卡机构收1.5元/笔，信用卡中心付3元/笔，中国</w:t>
      </w:r>
      <w:proofErr w:type="gramStart"/>
      <w:r w:rsidRPr="005E1925">
        <w:rPr>
          <w:rFonts w:asciiTheme="minorEastAsia" w:eastAsiaTheme="minorEastAsia" w:hAnsiTheme="minorEastAsia" w:cs="宋体" w:hint="eastAsia"/>
          <w:color w:val="000000"/>
          <w:kern w:val="0"/>
          <w:sz w:val="28"/>
          <w:szCs w:val="32"/>
        </w:rPr>
        <w:t>银联收</w:t>
      </w:r>
      <w:proofErr w:type="gramEnd"/>
      <w:r w:rsidRPr="005E1925">
        <w:rPr>
          <w:rFonts w:asciiTheme="minorEastAsia" w:eastAsiaTheme="minorEastAsia" w:hAnsiTheme="minorEastAsia" w:cs="宋体" w:hint="eastAsia"/>
          <w:color w:val="000000"/>
          <w:kern w:val="0"/>
          <w:sz w:val="28"/>
          <w:szCs w:val="32"/>
        </w:rPr>
        <w:t>0.3元/笔，收单机构收1.2元/笔。</w:t>
      </w:r>
    </w:p>
    <w:p w:rsidR="004D2B02" w:rsidRPr="005E1925" w:rsidRDefault="004D2B02"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根据中国银联制定的《关于发布银联卡刷卡手续费调整相关实施方案的函》规定，银</w:t>
      </w:r>
      <w:proofErr w:type="gramStart"/>
      <w:r w:rsidRPr="005E1925">
        <w:rPr>
          <w:rFonts w:asciiTheme="minorEastAsia" w:eastAsiaTheme="minorEastAsia" w:hAnsiTheme="minorEastAsia" w:cs="宋体" w:hint="eastAsia"/>
          <w:color w:val="000000"/>
          <w:kern w:val="0"/>
          <w:sz w:val="28"/>
          <w:szCs w:val="32"/>
        </w:rPr>
        <w:t>联卡境内</w:t>
      </w:r>
      <w:proofErr w:type="gramEnd"/>
      <w:r w:rsidRPr="005E1925">
        <w:rPr>
          <w:rFonts w:asciiTheme="minorEastAsia" w:eastAsiaTheme="minorEastAsia" w:hAnsiTheme="minorEastAsia" w:cs="宋体" w:hint="eastAsia"/>
          <w:color w:val="000000"/>
          <w:kern w:val="0"/>
          <w:sz w:val="28"/>
          <w:szCs w:val="32"/>
        </w:rPr>
        <w:t>刷卡手续费，发卡行服务费为：借记卡（含预付费卡）费率为交易金额的0.35%（单笔费用封顶13元），贷记卡（</w:t>
      </w:r>
      <w:proofErr w:type="gramStart"/>
      <w:r w:rsidRPr="005E1925">
        <w:rPr>
          <w:rFonts w:asciiTheme="minorEastAsia" w:eastAsiaTheme="minorEastAsia" w:hAnsiTheme="minorEastAsia" w:cs="宋体" w:hint="eastAsia"/>
          <w:color w:val="000000"/>
          <w:kern w:val="0"/>
          <w:sz w:val="28"/>
          <w:szCs w:val="32"/>
        </w:rPr>
        <w:t>含准贷</w:t>
      </w:r>
      <w:proofErr w:type="gramEnd"/>
      <w:r w:rsidRPr="005E1925">
        <w:rPr>
          <w:rFonts w:asciiTheme="minorEastAsia" w:eastAsiaTheme="minorEastAsia" w:hAnsiTheme="minorEastAsia" w:cs="宋体" w:hint="eastAsia"/>
          <w:color w:val="000000"/>
          <w:kern w:val="0"/>
          <w:sz w:val="28"/>
          <w:szCs w:val="32"/>
        </w:rPr>
        <w:t>记卡）费率为交易金额的0.45%。</w:t>
      </w:r>
    </w:p>
    <w:p w:rsidR="004D2B02" w:rsidRPr="005E1925" w:rsidRDefault="004D2B02"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2018年1月至3月期间，</w:t>
      </w:r>
      <w:r w:rsidR="0063699C" w:rsidRPr="005E1925">
        <w:rPr>
          <w:rFonts w:asciiTheme="minorEastAsia" w:eastAsiaTheme="minorEastAsia" w:hAnsiTheme="minorEastAsia" w:cs="宋体" w:hint="eastAsia"/>
          <w:color w:val="000000"/>
          <w:kern w:val="0"/>
          <w:sz w:val="28"/>
          <w:szCs w:val="32"/>
        </w:rPr>
        <w:t>卡友公司</w:t>
      </w:r>
      <w:r w:rsidRPr="005E1925">
        <w:rPr>
          <w:rFonts w:asciiTheme="minorEastAsia" w:eastAsiaTheme="minorEastAsia" w:hAnsiTheme="minorEastAsia" w:cs="宋体" w:hint="eastAsia"/>
          <w:color w:val="000000"/>
          <w:kern w:val="0"/>
          <w:sz w:val="28"/>
          <w:szCs w:val="32"/>
        </w:rPr>
        <w:t>为</w:t>
      </w:r>
      <w:r w:rsidR="0063699C" w:rsidRPr="005E1925">
        <w:rPr>
          <w:rFonts w:asciiTheme="minorEastAsia" w:eastAsiaTheme="minorEastAsia" w:hAnsiTheme="minorEastAsia" w:cs="宋体" w:hint="eastAsia"/>
          <w:color w:val="000000"/>
          <w:kern w:val="0"/>
          <w:sz w:val="28"/>
          <w:szCs w:val="32"/>
        </w:rPr>
        <w:t>交行信用卡中心</w:t>
      </w:r>
      <w:r w:rsidRPr="005E1925">
        <w:rPr>
          <w:rFonts w:asciiTheme="minorEastAsia" w:eastAsiaTheme="minorEastAsia" w:hAnsiTheme="minorEastAsia" w:cs="宋体" w:hint="eastAsia"/>
          <w:color w:val="000000"/>
          <w:kern w:val="0"/>
          <w:sz w:val="28"/>
          <w:szCs w:val="32"/>
        </w:rPr>
        <w:t>作为发卡行的信用卡提供收单业务，其中有315,610笔、涉及金额为2,119,974,958.42元的业务，</w:t>
      </w:r>
      <w:r w:rsidR="00F005C7" w:rsidRPr="005E1925">
        <w:rPr>
          <w:rFonts w:asciiTheme="minorEastAsia" w:eastAsiaTheme="minorEastAsia" w:hAnsiTheme="minorEastAsia" w:cs="宋体" w:hint="eastAsia"/>
          <w:color w:val="000000"/>
          <w:kern w:val="0"/>
          <w:sz w:val="28"/>
          <w:szCs w:val="32"/>
        </w:rPr>
        <w:t>商户类别码（MCC）</w:t>
      </w:r>
      <w:r w:rsidRPr="005E1925">
        <w:rPr>
          <w:rFonts w:asciiTheme="minorEastAsia" w:eastAsiaTheme="minorEastAsia" w:hAnsiTheme="minorEastAsia" w:cs="宋体" w:hint="eastAsia"/>
          <w:color w:val="000000"/>
          <w:kern w:val="0"/>
          <w:sz w:val="28"/>
          <w:szCs w:val="32"/>
        </w:rPr>
        <w:t>均为9498，商户名称为NT公司等主体。中国银联按照</w:t>
      </w:r>
      <w:r w:rsidR="0063699C" w:rsidRPr="005E1925">
        <w:rPr>
          <w:rFonts w:asciiTheme="minorEastAsia" w:eastAsiaTheme="minorEastAsia" w:hAnsiTheme="minorEastAsia" w:cs="宋体" w:hint="eastAsia"/>
          <w:color w:val="000000"/>
          <w:kern w:val="0"/>
          <w:sz w:val="28"/>
          <w:szCs w:val="32"/>
        </w:rPr>
        <w:t>卡友公司</w:t>
      </w:r>
      <w:r w:rsidRPr="005E1925">
        <w:rPr>
          <w:rFonts w:asciiTheme="minorEastAsia" w:eastAsiaTheme="minorEastAsia" w:hAnsiTheme="minorEastAsia" w:cs="宋体" w:hint="eastAsia"/>
          <w:color w:val="000000"/>
          <w:kern w:val="0"/>
          <w:sz w:val="28"/>
          <w:szCs w:val="32"/>
        </w:rPr>
        <w:t>提供的交易信息，根据</w:t>
      </w:r>
      <w:r w:rsidR="00F005C7" w:rsidRPr="005E1925">
        <w:rPr>
          <w:rFonts w:asciiTheme="minorEastAsia" w:eastAsiaTheme="minorEastAsia" w:hAnsiTheme="minorEastAsia" w:cs="宋体" w:hint="eastAsia"/>
          <w:color w:val="000000"/>
          <w:kern w:val="0"/>
          <w:sz w:val="28"/>
          <w:szCs w:val="32"/>
        </w:rPr>
        <w:t>商户类别码（MCC）</w:t>
      </w:r>
      <w:r w:rsidRPr="005E1925">
        <w:rPr>
          <w:rFonts w:asciiTheme="minorEastAsia" w:eastAsiaTheme="minorEastAsia" w:hAnsiTheme="minorEastAsia" w:cs="宋体" w:hint="eastAsia"/>
          <w:color w:val="000000"/>
          <w:kern w:val="0"/>
          <w:sz w:val="28"/>
          <w:szCs w:val="32"/>
        </w:rPr>
        <w:t>识别交易类型为信用卡还款业务，并按照信用卡还款业务的手续费收费标准即每笔1.5元进行结算，向</w:t>
      </w:r>
      <w:r w:rsidR="0063699C" w:rsidRPr="005E1925">
        <w:rPr>
          <w:rFonts w:asciiTheme="minorEastAsia" w:eastAsiaTheme="minorEastAsia" w:hAnsiTheme="minorEastAsia" w:cs="宋体" w:hint="eastAsia"/>
          <w:color w:val="000000"/>
          <w:kern w:val="0"/>
          <w:sz w:val="28"/>
          <w:szCs w:val="32"/>
        </w:rPr>
        <w:t>交行信用卡中心</w:t>
      </w:r>
      <w:r w:rsidRPr="005E1925">
        <w:rPr>
          <w:rFonts w:asciiTheme="minorEastAsia" w:eastAsiaTheme="minorEastAsia" w:hAnsiTheme="minorEastAsia" w:cs="宋体" w:hint="eastAsia"/>
          <w:color w:val="000000"/>
          <w:kern w:val="0"/>
          <w:sz w:val="28"/>
          <w:szCs w:val="32"/>
        </w:rPr>
        <w:t>支付了手续费473,405.50元。</w:t>
      </w:r>
    </w:p>
    <w:p w:rsidR="009D43CB" w:rsidRPr="005E1925" w:rsidRDefault="00A670A5"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嗣后，</w:t>
      </w:r>
      <w:r w:rsidR="0063699C" w:rsidRPr="005E1925">
        <w:rPr>
          <w:rFonts w:asciiTheme="minorEastAsia" w:eastAsiaTheme="minorEastAsia" w:hAnsiTheme="minorEastAsia" w:cs="宋体" w:hint="eastAsia"/>
          <w:color w:val="000000"/>
          <w:kern w:val="0"/>
          <w:sz w:val="28"/>
          <w:szCs w:val="32"/>
        </w:rPr>
        <w:t>交行信用卡中心</w:t>
      </w:r>
      <w:r w:rsidRPr="005E1925">
        <w:rPr>
          <w:rFonts w:asciiTheme="minorEastAsia" w:eastAsiaTheme="minorEastAsia" w:hAnsiTheme="minorEastAsia" w:cs="宋体" w:hint="eastAsia"/>
          <w:color w:val="000000"/>
          <w:kern w:val="0"/>
          <w:sz w:val="28"/>
          <w:szCs w:val="32"/>
        </w:rPr>
        <w:t>在检查业务过程中，发现</w:t>
      </w:r>
      <w:r w:rsidR="0063699C" w:rsidRPr="005E1925">
        <w:rPr>
          <w:rFonts w:asciiTheme="minorEastAsia" w:eastAsiaTheme="minorEastAsia" w:hAnsiTheme="minorEastAsia" w:cs="宋体" w:hint="eastAsia"/>
          <w:color w:val="000000"/>
          <w:kern w:val="0"/>
          <w:sz w:val="28"/>
          <w:szCs w:val="32"/>
        </w:rPr>
        <w:t>卡友公司</w:t>
      </w:r>
      <w:r w:rsidRPr="005E1925">
        <w:rPr>
          <w:rFonts w:asciiTheme="minorEastAsia" w:eastAsiaTheme="minorEastAsia" w:hAnsiTheme="minorEastAsia" w:cs="宋体" w:hint="eastAsia"/>
          <w:color w:val="000000"/>
          <w:kern w:val="0"/>
          <w:sz w:val="28"/>
          <w:szCs w:val="32"/>
        </w:rPr>
        <w:t>的上述交易存在非法套用信用卡交易商户类别码（MCC</w:t>
      </w:r>
      <w:r w:rsidR="0036479D" w:rsidRPr="005E1925">
        <w:rPr>
          <w:rFonts w:asciiTheme="minorEastAsia" w:eastAsiaTheme="minorEastAsia" w:hAnsiTheme="minorEastAsia" w:cs="宋体" w:hint="eastAsia"/>
          <w:color w:val="000000"/>
          <w:kern w:val="0"/>
          <w:sz w:val="28"/>
          <w:szCs w:val="32"/>
        </w:rPr>
        <w:t>）</w:t>
      </w:r>
      <w:r w:rsidRPr="005E1925">
        <w:rPr>
          <w:rFonts w:asciiTheme="minorEastAsia" w:eastAsiaTheme="minorEastAsia" w:hAnsiTheme="minorEastAsia" w:cs="宋体" w:hint="eastAsia"/>
          <w:color w:val="000000"/>
          <w:kern w:val="0"/>
          <w:sz w:val="28"/>
          <w:szCs w:val="32"/>
        </w:rPr>
        <w:t>9498开展信用卡消费交易的情况，遂向其发函要求</w:t>
      </w:r>
      <w:r w:rsidR="00620381" w:rsidRPr="005E1925">
        <w:rPr>
          <w:rFonts w:asciiTheme="minorEastAsia" w:eastAsiaTheme="minorEastAsia" w:hAnsiTheme="minorEastAsia" w:cs="宋体" w:hint="eastAsia"/>
          <w:color w:val="000000"/>
          <w:kern w:val="0"/>
          <w:sz w:val="28"/>
          <w:szCs w:val="32"/>
        </w:rPr>
        <w:t>卡友公司</w:t>
      </w:r>
      <w:r w:rsidRPr="005E1925">
        <w:rPr>
          <w:rFonts w:asciiTheme="minorEastAsia" w:eastAsiaTheme="minorEastAsia" w:hAnsiTheme="minorEastAsia" w:cs="宋体" w:hint="eastAsia"/>
          <w:color w:val="000000"/>
          <w:kern w:val="0"/>
          <w:sz w:val="28"/>
          <w:szCs w:val="32"/>
        </w:rPr>
        <w:t>赔</w:t>
      </w:r>
      <w:proofErr w:type="gramStart"/>
      <w:r w:rsidRPr="005E1925">
        <w:rPr>
          <w:rFonts w:asciiTheme="minorEastAsia" w:eastAsiaTheme="minorEastAsia" w:hAnsiTheme="minorEastAsia" w:cs="宋体" w:hint="eastAsia"/>
          <w:color w:val="000000"/>
          <w:kern w:val="0"/>
          <w:sz w:val="28"/>
          <w:szCs w:val="32"/>
        </w:rPr>
        <w:t>付</w:t>
      </w:r>
      <w:r w:rsidR="00620381" w:rsidRPr="005E1925">
        <w:rPr>
          <w:rFonts w:asciiTheme="minorEastAsia" w:eastAsiaTheme="minorEastAsia" w:hAnsiTheme="minorEastAsia" w:cs="宋体" w:hint="eastAsia"/>
          <w:color w:val="000000"/>
          <w:kern w:val="0"/>
          <w:sz w:val="28"/>
          <w:szCs w:val="32"/>
        </w:rPr>
        <w:t>手</w:t>
      </w:r>
      <w:proofErr w:type="gramEnd"/>
      <w:r w:rsidR="00620381" w:rsidRPr="005E1925">
        <w:rPr>
          <w:rFonts w:asciiTheme="minorEastAsia" w:eastAsiaTheme="minorEastAsia" w:hAnsiTheme="minorEastAsia" w:cs="宋体" w:hint="eastAsia"/>
          <w:color w:val="000000"/>
          <w:kern w:val="0"/>
          <w:sz w:val="28"/>
          <w:szCs w:val="32"/>
        </w:rPr>
        <w:t>续费损失</w:t>
      </w:r>
      <w:r w:rsidR="004D2B02" w:rsidRPr="005E1925">
        <w:rPr>
          <w:rFonts w:asciiTheme="minorEastAsia" w:eastAsiaTheme="minorEastAsia" w:hAnsiTheme="minorEastAsia" w:cs="宋体" w:hint="eastAsia"/>
          <w:color w:val="000000"/>
          <w:kern w:val="0"/>
          <w:sz w:val="28"/>
          <w:szCs w:val="32"/>
        </w:rPr>
        <w:t>9,066,481.81元。</w:t>
      </w:r>
      <w:r w:rsidR="0063699C" w:rsidRPr="005E1925">
        <w:rPr>
          <w:rFonts w:asciiTheme="minorEastAsia" w:eastAsiaTheme="minorEastAsia" w:hAnsiTheme="minorEastAsia" w:cs="宋体" w:hint="eastAsia"/>
          <w:color w:val="000000"/>
          <w:kern w:val="0"/>
          <w:sz w:val="28"/>
          <w:szCs w:val="32"/>
        </w:rPr>
        <w:t>卡友公司</w:t>
      </w:r>
      <w:r w:rsidRPr="005E1925">
        <w:rPr>
          <w:rFonts w:asciiTheme="minorEastAsia" w:eastAsiaTheme="minorEastAsia" w:hAnsiTheme="minorEastAsia" w:cs="宋体" w:hint="eastAsia"/>
          <w:color w:val="000000"/>
          <w:kern w:val="0"/>
          <w:sz w:val="28"/>
          <w:szCs w:val="32"/>
        </w:rPr>
        <w:t>回函</w:t>
      </w:r>
      <w:r w:rsidR="009D43CB" w:rsidRPr="005E1925">
        <w:rPr>
          <w:rFonts w:asciiTheme="minorEastAsia" w:eastAsiaTheme="minorEastAsia" w:hAnsiTheme="minorEastAsia" w:cs="宋体" w:hint="eastAsia"/>
          <w:color w:val="000000"/>
          <w:kern w:val="0"/>
          <w:sz w:val="28"/>
          <w:szCs w:val="32"/>
        </w:rPr>
        <w:t>致歉</w:t>
      </w:r>
      <w:r w:rsidRPr="005E1925">
        <w:rPr>
          <w:rFonts w:asciiTheme="minorEastAsia" w:eastAsiaTheme="minorEastAsia" w:hAnsiTheme="minorEastAsia" w:cs="宋体" w:hint="eastAsia"/>
          <w:color w:val="000000"/>
          <w:kern w:val="0"/>
          <w:sz w:val="28"/>
          <w:szCs w:val="32"/>
        </w:rPr>
        <w:t>称</w:t>
      </w:r>
      <w:r w:rsidR="009D43CB" w:rsidRPr="005E1925">
        <w:rPr>
          <w:rFonts w:asciiTheme="minorEastAsia" w:eastAsiaTheme="minorEastAsia" w:hAnsiTheme="minorEastAsia" w:cs="宋体" w:hint="eastAsia"/>
          <w:color w:val="000000"/>
          <w:kern w:val="0"/>
          <w:sz w:val="28"/>
          <w:szCs w:val="32"/>
        </w:rPr>
        <w:t>，是由于系统漏洞导致了上述问题的发</w:t>
      </w:r>
      <w:r w:rsidR="001F3097" w:rsidRPr="005E1925">
        <w:rPr>
          <w:rFonts w:asciiTheme="minorEastAsia" w:eastAsiaTheme="minorEastAsia" w:hAnsiTheme="minorEastAsia" w:cs="宋体" w:hint="eastAsia"/>
          <w:color w:val="000000"/>
          <w:kern w:val="0"/>
          <w:sz w:val="28"/>
          <w:szCs w:val="32"/>
        </w:rPr>
        <w:t>生，但未向</w:t>
      </w:r>
      <w:r w:rsidR="0063699C" w:rsidRPr="005E1925">
        <w:rPr>
          <w:rFonts w:asciiTheme="minorEastAsia" w:eastAsiaTheme="minorEastAsia" w:hAnsiTheme="minorEastAsia" w:cs="宋体" w:hint="eastAsia"/>
          <w:color w:val="000000"/>
          <w:kern w:val="0"/>
          <w:sz w:val="28"/>
          <w:szCs w:val="32"/>
        </w:rPr>
        <w:t>交行信用卡中心</w:t>
      </w:r>
      <w:r w:rsidR="001F3097" w:rsidRPr="005E1925">
        <w:rPr>
          <w:rFonts w:asciiTheme="minorEastAsia" w:eastAsiaTheme="minorEastAsia" w:hAnsiTheme="minorEastAsia" w:cs="宋体" w:hint="eastAsia"/>
          <w:color w:val="000000"/>
          <w:kern w:val="0"/>
          <w:sz w:val="28"/>
          <w:szCs w:val="32"/>
        </w:rPr>
        <w:t>赔付损失，故涉讼。</w:t>
      </w:r>
    </w:p>
    <w:p w:rsidR="004E5F6D" w:rsidRPr="005E1925" w:rsidRDefault="00E93C71"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上海市嘉定区人民法院</w:t>
      </w:r>
      <w:r w:rsidR="006B38E4" w:rsidRPr="005E1925">
        <w:rPr>
          <w:rFonts w:asciiTheme="minorEastAsia" w:eastAsiaTheme="minorEastAsia" w:hAnsiTheme="minorEastAsia" w:cs="宋体" w:hint="eastAsia"/>
          <w:color w:val="000000"/>
          <w:kern w:val="0"/>
          <w:sz w:val="28"/>
          <w:szCs w:val="32"/>
        </w:rPr>
        <w:t>一审</w:t>
      </w:r>
      <w:proofErr w:type="gramStart"/>
      <w:r w:rsidR="0063699C" w:rsidRPr="005E1925">
        <w:rPr>
          <w:rFonts w:asciiTheme="minorEastAsia" w:eastAsiaTheme="minorEastAsia" w:hAnsiTheme="minorEastAsia" w:cs="宋体" w:hint="eastAsia"/>
          <w:color w:val="000000"/>
          <w:kern w:val="0"/>
          <w:sz w:val="28"/>
          <w:szCs w:val="32"/>
        </w:rPr>
        <w:t>判决卡</w:t>
      </w:r>
      <w:proofErr w:type="gramEnd"/>
      <w:r w:rsidR="0063699C" w:rsidRPr="005E1925">
        <w:rPr>
          <w:rFonts w:asciiTheme="minorEastAsia" w:eastAsiaTheme="minorEastAsia" w:hAnsiTheme="minorEastAsia" w:cs="宋体" w:hint="eastAsia"/>
          <w:color w:val="000000"/>
          <w:kern w:val="0"/>
          <w:sz w:val="28"/>
          <w:szCs w:val="32"/>
        </w:rPr>
        <w:t>友公司</w:t>
      </w:r>
      <w:bookmarkStart w:id="1" w:name="_GoBack"/>
      <w:bookmarkEnd w:id="1"/>
      <w:r w:rsidR="0063699C" w:rsidRPr="005E1925">
        <w:rPr>
          <w:rFonts w:asciiTheme="minorEastAsia" w:eastAsiaTheme="minorEastAsia" w:hAnsiTheme="minorEastAsia" w:cs="宋体" w:hint="eastAsia"/>
          <w:color w:val="000000"/>
          <w:kern w:val="0"/>
          <w:sz w:val="28"/>
          <w:szCs w:val="32"/>
        </w:rPr>
        <w:t>赔偿交行信用卡中心</w:t>
      </w:r>
      <w:r w:rsidRPr="005E1925">
        <w:rPr>
          <w:rFonts w:asciiTheme="minorEastAsia" w:eastAsiaTheme="minorEastAsia" w:hAnsiTheme="minorEastAsia" w:cs="宋体" w:hint="eastAsia"/>
          <w:color w:val="000000"/>
          <w:kern w:val="0"/>
          <w:sz w:val="28"/>
          <w:szCs w:val="32"/>
        </w:rPr>
        <w:t>损失9,066,481.81元及相应利息。</w:t>
      </w:r>
      <w:r w:rsidR="009D43CB" w:rsidRPr="005E1925">
        <w:rPr>
          <w:rFonts w:asciiTheme="minorEastAsia" w:eastAsiaTheme="minorEastAsia" w:hAnsiTheme="minorEastAsia" w:cs="宋体" w:hint="eastAsia"/>
          <w:color w:val="000000"/>
          <w:kern w:val="0"/>
          <w:sz w:val="28"/>
          <w:szCs w:val="32"/>
        </w:rPr>
        <w:t>宣判后，</w:t>
      </w:r>
      <w:r w:rsidR="0063699C" w:rsidRPr="005E1925">
        <w:rPr>
          <w:rFonts w:asciiTheme="minorEastAsia" w:eastAsiaTheme="minorEastAsia" w:hAnsiTheme="minorEastAsia" w:cs="宋体" w:hint="eastAsia"/>
          <w:color w:val="000000"/>
          <w:kern w:val="0"/>
          <w:sz w:val="28"/>
          <w:szCs w:val="32"/>
        </w:rPr>
        <w:t>卡友公司</w:t>
      </w:r>
      <w:r w:rsidRPr="005E1925">
        <w:rPr>
          <w:rFonts w:asciiTheme="minorEastAsia" w:eastAsiaTheme="minorEastAsia" w:hAnsiTheme="minorEastAsia" w:cs="宋体" w:hint="eastAsia"/>
          <w:color w:val="000000"/>
          <w:kern w:val="0"/>
          <w:sz w:val="28"/>
          <w:szCs w:val="32"/>
        </w:rPr>
        <w:t>提出上诉。上海金融法院</w:t>
      </w:r>
      <w:r w:rsidR="006B38E4" w:rsidRPr="005E1925">
        <w:rPr>
          <w:rFonts w:asciiTheme="minorEastAsia" w:eastAsiaTheme="minorEastAsia" w:hAnsiTheme="minorEastAsia" w:cs="宋体" w:hint="eastAsia"/>
          <w:color w:val="000000"/>
          <w:kern w:val="0"/>
          <w:sz w:val="28"/>
          <w:szCs w:val="32"/>
        </w:rPr>
        <w:t>二审</w:t>
      </w:r>
      <w:r w:rsidRPr="005E1925">
        <w:rPr>
          <w:rFonts w:asciiTheme="minorEastAsia" w:eastAsiaTheme="minorEastAsia" w:hAnsiTheme="minorEastAsia" w:cs="宋体" w:hint="eastAsia"/>
          <w:color w:val="000000"/>
          <w:kern w:val="0"/>
          <w:sz w:val="28"/>
          <w:szCs w:val="32"/>
        </w:rPr>
        <w:t>判决驳回上诉，维持原判。</w:t>
      </w:r>
    </w:p>
    <w:p w:rsidR="00197E71" w:rsidRPr="005B2F8A" w:rsidRDefault="00197E71" w:rsidP="00AD08C3">
      <w:pPr>
        <w:adjustRightInd w:val="0"/>
        <w:snapToGrid w:val="0"/>
        <w:spacing w:line="560" w:lineRule="exact"/>
        <w:ind w:firstLineChars="200" w:firstLine="640"/>
        <w:jc w:val="right"/>
        <w:rPr>
          <w:rFonts w:asciiTheme="minorEastAsia" w:eastAsiaTheme="minorEastAsia" w:hAnsiTheme="minorEastAsia" w:cs="宋体"/>
          <w:color w:val="000000"/>
          <w:kern w:val="0"/>
          <w:sz w:val="32"/>
          <w:szCs w:val="32"/>
        </w:rPr>
      </w:pPr>
    </w:p>
    <w:p w:rsidR="00197E71" w:rsidRDefault="00197E71" w:rsidP="00197E71">
      <w:pPr>
        <w:adjustRightInd w:val="0"/>
        <w:snapToGrid w:val="0"/>
        <w:spacing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w:t>
      </w:r>
      <w:r w:rsidRPr="00926BBB">
        <w:rPr>
          <w:rFonts w:ascii="黑体" w:eastAsia="黑体" w:hAnsi="黑体" w:hint="eastAsia"/>
          <w:sz w:val="32"/>
          <w:szCs w:val="32"/>
        </w:rPr>
        <w:t>专家点评</w:t>
      </w:r>
      <w:r>
        <w:rPr>
          <w:rFonts w:ascii="仿宋_GB2312" w:eastAsia="仿宋_GB2312" w:hAnsi="宋体" w:hint="eastAsia"/>
          <w:color w:val="000000"/>
          <w:kern w:val="0"/>
          <w:sz w:val="32"/>
          <w:szCs w:val="32"/>
        </w:rPr>
        <w:t>】</w:t>
      </w:r>
    </w:p>
    <w:p w:rsidR="00197E71" w:rsidRPr="005E1925" w:rsidRDefault="00197E71" w:rsidP="005E1925">
      <w:pPr>
        <w:spacing w:line="560" w:lineRule="exact"/>
        <w:ind w:firstLineChars="200" w:firstLine="560"/>
        <w:contextualSpacing/>
        <w:rPr>
          <w:rFonts w:ascii="黑体" w:eastAsia="黑体" w:hAnsi="黑体"/>
          <w:sz w:val="28"/>
          <w:szCs w:val="32"/>
        </w:rPr>
      </w:pPr>
      <w:r w:rsidRPr="005E1925">
        <w:rPr>
          <w:rFonts w:ascii="黑体" w:eastAsia="黑体" w:hAnsi="黑体" w:hint="eastAsia"/>
          <w:sz w:val="28"/>
          <w:szCs w:val="32"/>
        </w:rPr>
        <w:t>点评人：黄辉，香港中文大学法学院教授</w:t>
      </w:r>
    </w:p>
    <w:p w:rsidR="00197E71" w:rsidRPr="005E1925" w:rsidRDefault="00197E71"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支付是现代金融体系的一个重要功能，我国的支付系统近年来发展迅猛，信用卡支付已经日益普及，但相关法律建设滞后，信用卡交易涉及的法律关系尚不完全清楚。在信用卡交易中，表面上看似持卡人与商户进行交易，但在后台还涉及发卡行和收单机构。其中，发卡行与持卡人之间签订信用卡客户协议，前者向后者发放信用卡；收单机构与商户之间签订银行卡受理协议，在商户受理银行卡并与持卡人达成交易后，收单机构为商户提供交易资金结算服务。然而，发卡行与收单机构之间究竟是何法律关系？有观点认为，二者都是中国银联的会员单位，从而与中国银</w:t>
      </w:r>
      <w:proofErr w:type="gramStart"/>
      <w:r w:rsidRPr="005E1925">
        <w:rPr>
          <w:rFonts w:asciiTheme="minorEastAsia" w:eastAsiaTheme="minorEastAsia" w:hAnsiTheme="minorEastAsia" w:cs="宋体" w:hint="eastAsia"/>
          <w:color w:val="000000"/>
          <w:kern w:val="0"/>
          <w:sz w:val="28"/>
          <w:szCs w:val="32"/>
        </w:rPr>
        <w:t>联构成</w:t>
      </w:r>
      <w:proofErr w:type="gramEnd"/>
      <w:r w:rsidRPr="005E1925">
        <w:rPr>
          <w:rFonts w:asciiTheme="minorEastAsia" w:eastAsiaTheme="minorEastAsia" w:hAnsiTheme="minorEastAsia" w:cs="宋体" w:hint="eastAsia"/>
          <w:color w:val="000000"/>
          <w:kern w:val="0"/>
          <w:sz w:val="28"/>
          <w:szCs w:val="32"/>
        </w:rPr>
        <w:t>了多边的合同关系；也有观点认为，二者系委托关系，由发卡行委托收单机构收集商户交易信息。</w:t>
      </w:r>
    </w:p>
    <w:p w:rsidR="00197E71" w:rsidRPr="005E1925" w:rsidRDefault="00197E71"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本案认为，发卡行与收单机构之间虽未签订书面合同，但根据央行及中国银联制定的有关收单机构业务监管规范及信用卡交易规则，结合发卡行及收单机构之间的实际交易事实，适用原《合同法》第十条对合同形式的规定，认定双方构成信用卡交易中的资金清算法律合同关系。这一认定充分发挥司法智慧，巧妙运用合同法的既有规则来应对新型支付方式带来的新问题，正确把握了信用卡交易的法律本质。在此基础上，本案进一步厘清了相关方的责任边界，确定发卡行不负有对商户类别码进行二次审核义务，因此，如果收单机构设定及发送错误的商户类别</w:t>
      </w:r>
      <w:proofErr w:type="gramStart"/>
      <w:r w:rsidRPr="005E1925">
        <w:rPr>
          <w:rFonts w:asciiTheme="minorEastAsia" w:eastAsiaTheme="minorEastAsia" w:hAnsiTheme="minorEastAsia" w:cs="宋体" w:hint="eastAsia"/>
          <w:color w:val="000000"/>
          <w:kern w:val="0"/>
          <w:sz w:val="28"/>
          <w:szCs w:val="32"/>
        </w:rPr>
        <w:t>码造成</w:t>
      </w:r>
      <w:proofErr w:type="gramEnd"/>
      <w:r w:rsidRPr="005E1925">
        <w:rPr>
          <w:rFonts w:asciiTheme="minorEastAsia" w:eastAsiaTheme="minorEastAsia" w:hAnsiTheme="minorEastAsia" w:cs="宋体" w:hint="eastAsia"/>
          <w:color w:val="000000"/>
          <w:kern w:val="0"/>
          <w:sz w:val="28"/>
          <w:szCs w:val="32"/>
        </w:rPr>
        <w:t>发卡行的手续费损失，那么，应由收单机构对发卡</w:t>
      </w:r>
      <w:proofErr w:type="gramStart"/>
      <w:r w:rsidRPr="005E1925">
        <w:rPr>
          <w:rFonts w:asciiTheme="minorEastAsia" w:eastAsiaTheme="minorEastAsia" w:hAnsiTheme="minorEastAsia" w:cs="宋体" w:hint="eastAsia"/>
          <w:color w:val="000000"/>
          <w:kern w:val="0"/>
          <w:sz w:val="28"/>
          <w:szCs w:val="32"/>
        </w:rPr>
        <w:t>行承担</w:t>
      </w:r>
      <w:proofErr w:type="gramEnd"/>
      <w:r w:rsidRPr="005E1925">
        <w:rPr>
          <w:rFonts w:asciiTheme="minorEastAsia" w:eastAsiaTheme="minorEastAsia" w:hAnsiTheme="minorEastAsia" w:cs="宋体" w:hint="eastAsia"/>
          <w:color w:val="000000"/>
          <w:kern w:val="0"/>
          <w:sz w:val="28"/>
          <w:szCs w:val="32"/>
        </w:rPr>
        <w:t>赔偿责任。</w:t>
      </w:r>
    </w:p>
    <w:p w:rsidR="00197E71" w:rsidRPr="005E1925" w:rsidRDefault="00197E71" w:rsidP="005E1925">
      <w:pPr>
        <w:adjustRightInd w:val="0"/>
        <w:snapToGrid w:val="0"/>
        <w:spacing w:line="560" w:lineRule="exact"/>
        <w:ind w:firstLineChars="200" w:firstLine="560"/>
        <w:rPr>
          <w:rFonts w:asciiTheme="minorEastAsia" w:eastAsiaTheme="minorEastAsia" w:hAnsiTheme="minorEastAsia" w:cs="宋体"/>
          <w:color w:val="000000"/>
          <w:kern w:val="0"/>
          <w:sz w:val="28"/>
          <w:szCs w:val="32"/>
        </w:rPr>
      </w:pPr>
      <w:r w:rsidRPr="005E1925">
        <w:rPr>
          <w:rFonts w:asciiTheme="minorEastAsia" w:eastAsiaTheme="minorEastAsia" w:hAnsiTheme="minorEastAsia" w:cs="宋体" w:hint="eastAsia"/>
          <w:color w:val="000000"/>
          <w:kern w:val="0"/>
          <w:sz w:val="28"/>
          <w:szCs w:val="32"/>
        </w:rPr>
        <w:t>本案理顺了信用卡交易中各方当事人的法律关系，合理界定了发卡行和收单机构的责任，对于同类案件的处理具有重要的示范效应，有助于我国银行卡收单业务乃至整个支付行业的长远健康发展，妥善处理了金融机构与金融消费者的利益平衡，实现了法律效果与社会效果的有机统一。</w:t>
      </w:r>
    </w:p>
    <w:p w:rsidR="00197E71" w:rsidRPr="005E1925" w:rsidRDefault="00197E71" w:rsidP="005E1925">
      <w:pPr>
        <w:adjustRightInd w:val="0"/>
        <w:snapToGrid w:val="0"/>
        <w:spacing w:line="560" w:lineRule="exact"/>
        <w:ind w:firstLineChars="200" w:firstLine="560"/>
        <w:rPr>
          <w:rFonts w:ascii="仿宋_GB2312" w:eastAsia="仿宋_GB2312" w:hAnsi="宋体"/>
          <w:color w:val="000000"/>
          <w:kern w:val="0"/>
          <w:sz w:val="28"/>
          <w:szCs w:val="32"/>
        </w:rPr>
      </w:pPr>
    </w:p>
    <w:sectPr w:rsidR="00197E71" w:rsidRPr="005E1925" w:rsidSect="003030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1C7" w:rsidRDefault="003E11C7" w:rsidP="00C857A2">
      <w:r>
        <w:separator/>
      </w:r>
    </w:p>
  </w:endnote>
  <w:endnote w:type="continuationSeparator" w:id="1">
    <w:p w:rsidR="003E11C7" w:rsidRDefault="003E11C7" w:rsidP="00C85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1C7" w:rsidRDefault="003E11C7" w:rsidP="00C857A2">
      <w:r>
        <w:separator/>
      </w:r>
    </w:p>
  </w:footnote>
  <w:footnote w:type="continuationSeparator" w:id="1">
    <w:p w:rsidR="003E11C7" w:rsidRDefault="003E11C7" w:rsidP="00C857A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倪中月">
    <w15:presenceInfo w15:providerId="None" w15:userId="倪中月"/>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5967"/>
    <w:rsid w:val="00020B8F"/>
    <w:rsid w:val="0002545F"/>
    <w:rsid w:val="000304E6"/>
    <w:rsid w:val="00034325"/>
    <w:rsid w:val="0004042C"/>
    <w:rsid w:val="00041C2D"/>
    <w:rsid w:val="00041E79"/>
    <w:rsid w:val="000451B4"/>
    <w:rsid w:val="000510E0"/>
    <w:rsid w:val="00056403"/>
    <w:rsid w:val="00074361"/>
    <w:rsid w:val="00076C39"/>
    <w:rsid w:val="00095459"/>
    <w:rsid w:val="000A0FDE"/>
    <w:rsid w:val="000A3D79"/>
    <w:rsid w:val="000A7638"/>
    <w:rsid w:val="000A7A80"/>
    <w:rsid w:val="000A7BB0"/>
    <w:rsid w:val="000B314D"/>
    <w:rsid w:val="000B3246"/>
    <w:rsid w:val="000B5303"/>
    <w:rsid w:val="000B5CD4"/>
    <w:rsid w:val="000B6546"/>
    <w:rsid w:val="000B78AA"/>
    <w:rsid w:val="000C0046"/>
    <w:rsid w:val="000C14B8"/>
    <w:rsid w:val="000C393D"/>
    <w:rsid w:val="000C3F64"/>
    <w:rsid w:val="000D022B"/>
    <w:rsid w:val="000D0773"/>
    <w:rsid w:val="000D1301"/>
    <w:rsid w:val="000D38CF"/>
    <w:rsid w:val="000D7B34"/>
    <w:rsid w:val="000E16E8"/>
    <w:rsid w:val="000E4427"/>
    <w:rsid w:val="000F4BBB"/>
    <w:rsid w:val="000F5195"/>
    <w:rsid w:val="0010397C"/>
    <w:rsid w:val="00104B98"/>
    <w:rsid w:val="00104C26"/>
    <w:rsid w:val="00113637"/>
    <w:rsid w:val="00113EC1"/>
    <w:rsid w:val="00126F3F"/>
    <w:rsid w:val="0013300A"/>
    <w:rsid w:val="00143067"/>
    <w:rsid w:val="001453CB"/>
    <w:rsid w:val="0014592E"/>
    <w:rsid w:val="00146B7B"/>
    <w:rsid w:val="00150A3E"/>
    <w:rsid w:val="00161231"/>
    <w:rsid w:val="001677AF"/>
    <w:rsid w:val="00167D97"/>
    <w:rsid w:val="0017293B"/>
    <w:rsid w:val="00176300"/>
    <w:rsid w:val="001813A3"/>
    <w:rsid w:val="001816ED"/>
    <w:rsid w:val="00186A23"/>
    <w:rsid w:val="00187930"/>
    <w:rsid w:val="001911C0"/>
    <w:rsid w:val="00195E76"/>
    <w:rsid w:val="00197E71"/>
    <w:rsid w:val="001A00D4"/>
    <w:rsid w:val="001A3785"/>
    <w:rsid w:val="001A6099"/>
    <w:rsid w:val="001A648C"/>
    <w:rsid w:val="001E23C2"/>
    <w:rsid w:val="001E247A"/>
    <w:rsid w:val="001F1F00"/>
    <w:rsid w:val="001F2F15"/>
    <w:rsid w:val="001F3097"/>
    <w:rsid w:val="0020159D"/>
    <w:rsid w:val="002022F4"/>
    <w:rsid w:val="00211906"/>
    <w:rsid w:val="0022286D"/>
    <w:rsid w:val="00224668"/>
    <w:rsid w:val="00224AC5"/>
    <w:rsid w:val="00224B1A"/>
    <w:rsid w:val="00230C62"/>
    <w:rsid w:val="00233765"/>
    <w:rsid w:val="00235843"/>
    <w:rsid w:val="00236939"/>
    <w:rsid w:val="00240578"/>
    <w:rsid w:val="00245558"/>
    <w:rsid w:val="00247DD1"/>
    <w:rsid w:val="002541B3"/>
    <w:rsid w:val="00272908"/>
    <w:rsid w:val="00273EBC"/>
    <w:rsid w:val="002742D4"/>
    <w:rsid w:val="00285AB2"/>
    <w:rsid w:val="0029641A"/>
    <w:rsid w:val="0029793A"/>
    <w:rsid w:val="002A0E37"/>
    <w:rsid w:val="002A50A8"/>
    <w:rsid w:val="002B2F44"/>
    <w:rsid w:val="002C0B66"/>
    <w:rsid w:val="002C196C"/>
    <w:rsid w:val="002C2B26"/>
    <w:rsid w:val="002D5485"/>
    <w:rsid w:val="002E1FB5"/>
    <w:rsid w:val="002E56DE"/>
    <w:rsid w:val="002E5900"/>
    <w:rsid w:val="002F17B9"/>
    <w:rsid w:val="00301AC3"/>
    <w:rsid w:val="00303013"/>
    <w:rsid w:val="0030553D"/>
    <w:rsid w:val="00306E59"/>
    <w:rsid w:val="0030787D"/>
    <w:rsid w:val="00312500"/>
    <w:rsid w:val="0031666C"/>
    <w:rsid w:val="0032060A"/>
    <w:rsid w:val="00324616"/>
    <w:rsid w:val="003309A5"/>
    <w:rsid w:val="00334ECF"/>
    <w:rsid w:val="0033580E"/>
    <w:rsid w:val="00345780"/>
    <w:rsid w:val="00345916"/>
    <w:rsid w:val="00346C5D"/>
    <w:rsid w:val="00346DF8"/>
    <w:rsid w:val="00353D5D"/>
    <w:rsid w:val="0036244F"/>
    <w:rsid w:val="00362BA7"/>
    <w:rsid w:val="0036479D"/>
    <w:rsid w:val="00373874"/>
    <w:rsid w:val="00380E62"/>
    <w:rsid w:val="00382512"/>
    <w:rsid w:val="00384166"/>
    <w:rsid w:val="003842AA"/>
    <w:rsid w:val="00386A32"/>
    <w:rsid w:val="0038777B"/>
    <w:rsid w:val="00391125"/>
    <w:rsid w:val="00392D0F"/>
    <w:rsid w:val="00395239"/>
    <w:rsid w:val="003A1FA6"/>
    <w:rsid w:val="003A34A5"/>
    <w:rsid w:val="003B683D"/>
    <w:rsid w:val="003C2991"/>
    <w:rsid w:val="003C3B19"/>
    <w:rsid w:val="003C5040"/>
    <w:rsid w:val="003C5EBC"/>
    <w:rsid w:val="003D481A"/>
    <w:rsid w:val="003D4A0A"/>
    <w:rsid w:val="003E11C7"/>
    <w:rsid w:val="003E1868"/>
    <w:rsid w:val="003F2A26"/>
    <w:rsid w:val="003F4063"/>
    <w:rsid w:val="003F49E3"/>
    <w:rsid w:val="00400D54"/>
    <w:rsid w:val="00402689"/>
    <w:rsid w:val="00403568"/>
    <w:rsid w:val="00411BF3"/>
    <w:rsid w:val="00417E91"/>
    <w:rsid w:val="0042017F"/>
    <w:rsid w:val="004231B9"/>
    <w:rsid w:val="004252FB"/>
    <w:rsid w:val="00427A3E"/>
    <w:rsid w:val="00434E7C"/>
    <w:rsid w:val="0044116C"/>
    <w:rsid w:val="00444072"/>
    <w:rsid w:val="004478C0"/>
    <w:rsid w:val="00450C83"/>
    <w:rsid w:val="0045195F"/>
    <w:rsid w:val="00451AF7"/>
    <w:rsid w:val="0045455D"/>
    <w:rsid w:val="00456E60"/>
    <w:rsid w:val="004603B6"/>
    <w:rsid w:val="0047554F"/>
    <w:rsid w:val="00480F13"/>
    <w:rsid w:val="00484F6C"/>
    <w:rsid w:val="00485630"/>
    <w:rsid w:val="00487778"/>
    <w:rsid w:val="00490C1F"/>
    <w:rsid w:val="00490E82"/>
    <w:rsid w:val="00494456"/>
    <w:rsid w:val="00495965"/>
    <w:rsid w:val="004A0ABD"/>
    <w:rsid w:val="004B3CEC"/>
    <w:rsid w:val="004B73AE"/>
    <w:rsid w:val="004C1628"/>
    <w:rsid w:val="004C5C98"/>
    <w:rsid w:val="004D240B"/>
    <w:rsid w:val="004D2B02"/>
    <w:rsid w:val="004D33EB"/>
    <w:rsid w:val="004D40F3"/>
    <w:rsid w:val="004D4613"/>
    <w:rsid w:val="004D4AF7"/>
    <w:rsid w:val="004D7E57"/>
    <w:rsid w:val="004E5CCC"/>
    <w:rsid w:val="004E5F6D"/>
    <w:rsid w:val="004F199E"/>
    <w:rsid w:val="004F420C"/>
    <w:rsid w:val="004F6B9C"/>
    <w:rsid w:val="00503811"/>
    <w:rsid w:val="005055F4"/>
    <w:rsid w:val="005110F5"/>
    <w:rsid w:val="005148EC"/>
    <w:rsid w:val="00521DCB"/>
    <w:rsid w:val="00522BDD"/>
    <w:rsid w:val="00535A0C"/>
    <w:rsid w:val="00541FA2"/>
    <w:rsid w:val="00545EC4"/>
    <w:rsid w:val="00546D6C"/>
    <w:rsid w:val="00547558"/>
    <w:rsid w:val="0055660F"/>
    <w:rsid w:val="00556E0D"/>
    <w:rsid w:val="0056267F"/>
    <w:rsid w:val="00562908"/>
    <w:rsid w:val="00564FA5"/>
    <w:rsid w:val="00565DD8"/>
    <w:rsid w:val="00570F84"/>
    <w:rsid w:val="00577752"/>
    <w:rsid w:val="005816A4"/>
    <w:rsid w:val="00585160"/>
    <w:rsid w:val="005919A2"/>
    <w:rsid w:val="005A138F"/>
    <w:rsid w:val="005A1ECC"/>
    <w:rsid w:val="005A3A61"/>
    <w:rsid w:val="005A4672"/>
    <w:rsid w:val="005A69DC"/>
    <w:rsid w:val="005A6B34"/>
    <w:rsid w:val="005B2AD6"/>
    <w:rsid w:val="005B2F8A"/>
    <w:rsid w:val="005D0F25"/>
    <w:rsid w:val="005D3A75"/>
    <w:rsid w:val="005D7AFC"/>
    <w:rsid w:val="005E1925"/>
    <w:rsid w:val="005E6CCA"/>
    <w:rsid w:val="005E7F37"/>
    <w:rsid w:val="005F1E43"/>
    <w:rsid w:val="005F4E04"/>
    <w:rsid w:val="00606B6D"/>
    <w:rsid w:val="00607E96"/>
    <w:rsid w:val="00610F2C"/>
    <w:rsid w:val="00611B3B"/>
    <w:rsid w:val="0061243D"/>
    <w:rsid w:val="0061305A"/>
    <w:rsid w:val="006136D4"/>
    <w:rsid w:val="0061555B"/>
    <w:rsid w:val="00617C53"/>
    <w:rsid w:val="00620381"/>
    <w:rsid w:val="00621C7C"/>
    <w:rsid w:val="00623E29"/>
    <w:rsid w:val="00625756"/>
    <w:rsid w:val="00625A4D"/>
    <w:rsid w:val="0063699C"/>
    <w:rsid w:val="00641319"/>
    <w:rsid w:val="00660050"/>
    <w:rsid w:val="00663307"/>
    <w:rsid w:val="006636E8"/>
    <w:rsid w:val="0066564C"/>
    <w:rsid w:val="00673113"/>
    <w:rsid w:val="0067689D"/>
    <w:rsid w:val="00680327"/>
    <w:rsid w:val="006818F3"/>
    <w:rsid w:val="00687052"/>
    <w:rsid w:val="00687237"/>
    <w:rsid w:val="00692A7C"/>
    <w:rsid w:val="006949EA"/>
    <w:rsid w:val="00696AA4"/>
    <w:rsid w:val="006A445A"/>
    <w:rsid w:val="006A6FDA"/>
    <w:rsid w:val="006B279D"/>
    <w:rsid w:val="006B2A36"/>
    <w:rsid w:val="006B38E4"/>
    <w:rsid w:val="006B6782"/>
    <w:rsid w:val="006C03BA"/>
    <w:rsid w:val="006C2324"/>
    <w:rsid w:val="006D43AD"/>
    <w:rsid w:val="006D7322"/>
    <w:rsid w:val="006F1972"/>
    <w:rsid w:val="007002AD"/>
    <w:rsid w:val="00711AC7"/>
    <w:rsid w:val="00713A9B"/>
    <w:rsid w:val="00714FF3"/>
    <w:rsid w:val="00724A56"/>
    <w:rsid w:val="00731AAE"/>
    <w:rsid w:val="00740369"/>
    <w:rsid w:val="007428F2"/>
    <w:rsid w:val="007513A8"/>
    <w:rsid w:val="0075404A"/>
    <w:rsid w:val="007632BD"/>
    <w:rsid w:val="0076598D"/>
    <w:rsid w:val="007664F0"/>
    <w:rsid w:val="007706D6"/>
    <w:rsid w:val="007730D0"/>
    <w:rsid w:val="007967B6"/>
    <w:rsid w:val="007B44E1"/>
    <w:rsid w:val="007C0009"/>
    <w:rsid w:val="007C06BE"/>
    <w:rsid w:val="007C0E68"/>
    <w:rsid w:val="007C0E76"/>
    <w:rsid w:val="007C255A"/>
    <w:rsid w:val="007C3DFD"/>
    <w:rsid w:val="007C68F8"/>
    <w:rsid w:val="007C7605"/>
    <w:rsid w:val="007D22A9"/>
    <w:rsid w:val="007D2DB3"/>
    <w:rsid w:val="007E0D4A"/>
    <w:rsid w:val="008031FE"/>
    <w:rsid w:val="0080396E"/>
    <w:rsid w:val="00806E86"/>
    <w:rsid w:val="0081469B"/>
    <w:rsid w:val="0081597A"/>
    <w:rsid w:val="00816FFB"/>
    <w:rsid w:val="00820005"/>
    <w:rsid w:val="00827BAA"/>
    <w:rsid w:val="008305DB"/>
    <w:rsid w:val="00832682"/>
    <w:rsid w:val="00842E36"/>
    <w:rsid w:val="00844F87"/>
    <w:rsid w:val="008502FC"/>
    <w:rsid w:val="008515A1"/>
    <w:rsid w:val="008520D9"/>
    <w:rsid w:val="00852B24"/>
    <w:rsid w:val="00854C65"/>
    <w:rsid w:val="00855878"/>
    <w:rsid w:val="00861E7E"/>
    <w:rsid w:val="00866E69"/>
    <w:rsid w:val="0087260C"/>
    <w:rsid w:val="008747F6"/>
    <w:rsid w:val="00882356"/>
    <w:rsid w:val="00883B7C"/>
    <w:rsid w:val="00884227"/>
    <w:rsid w:val="008866C9"/>
    <w:rsid w:val="008874F3"/>
    <w:rsid w:val="00887859"/>
    <w:rsid w:val="008949D3"/>
    <w:rsid w:val="008960EF"/>
    <w:rsid w:val="00896B83"/>
    <w:rsid w:val="008A58E5"/>
    <w:rsid w:val="008A71DA"/>
    <w:rsid w:val="008B11B8"/>
    <w:rsid w:val="008B5850"/>
    <w:rsid w:val="008B60D0"/>
    <w:rsid w:val="008C5734"/>
    <w:rsid w:val="008C64F5"/>
    <w:rsid w:val="008D49E5"/>
    <w:rsid w:val="008E2F31"/>
    <w:rsid w:val="008E74AE"/>
    <w:rsid w:val="008F67EC"/>
    <w:rsid w:val="008F6AF8"/>
    <w:rsid w:val="00905F6B"/>
    <w:rsid w:val="00912599"/>
    <w:rsid w:val="009217A6"/>
    <w:rsid w:val="00926790"/>
    <w:rsid w:val="00926BBB"/>
    <w:rsid w:val="00932F10"/>
    <w:rsid w:val="00933901"/>
    <w:rsid w:val="0093422D"/>
    <w:rsid w:val="00937A80"/>
    <w:rsid w:val="00940EBB"/>
    <w:rsid w:val="0094746C"/>
    <w:rsid w:val="009501F6"/>
    <w:rsid w:val="009540EE"/>
    <w:rsid w:val="009579F3"/>
    <w:rsid w:val="00961AB8"/>
    <w:rsid w:val="00962ADB"/>
    <w:rsid w:val="00963589"/>
    <w:rsid w:val="00965CFA"/>
    <w:rsid w:val="0098482D"/>
    <w:rsid w:val="00986693"/>
    <w:rsid w:val="009A0A87"/>
    <w:rsid w:val="009A4B9A"/>
    <w:rsid w:val="009B4D19"/>
    <w:rsid w:val="009B53CD"/>
    <w:rsid w:val="009B5628"/>
    <w:rsid w:val="009C0D9C"/>
    <w:rsid w:val="009C0E01"/>
    <w:rsid w:val="009D1DC3"/>
    <w:rsid w:val="009D43CB"/>
    <w:rsid w:val="009D7F5D"/>
    <w:rsid w:val="009E5946"/>
    <w:rsid w:val="009F09E4"/>
    <w:rsid w:val="009F4856"/>
    <w:rsid w:val="00A3188A"/>
    <w:rsid w:val="00A34D90"/>
    <w:rsid w:val="00A37F12"/>
    <w:rsid w:val="00A43D49"/>
    <w:rsid w:val="00A43DA2"/>
    <w:rsid w:val="00A45D6C"/>
    <w:rsid w:val="00A46F1E"/>
    <w:rsid w:val="00A52ED4"/>
    <w:rsid w:val="00A61F81"/>
    <w:rsid w:val="00A670A5"/>
    <w:rsid w:val="00A672B3"/>
    <w:rsid w:val="00A7209D"/>
    <w:rsid w:val="00A823E8"/>
    <w:rsid w:val="00A93DD2"/>
    <w:rsid w:val="00AA09D6"/>
    <w:rsid w:val="00AA0B58"/>
    <w:rsid w:val="00AA20DD"/>
    <w:rsid w:val="00AA4CE7"/>
    <w:rsid w:val="00AA5BB6"/>
    <w:rsid w:val="00AA63E3"/>
    <w:rsid w:val="00AB4E3A"/>
    <w:rsid w:val="00AD08C3"/>
    <w:rsid w:val="00AD732A"/>
    <w:rsid w:val="00AE42FF"/>
    <w:rsid w:val="00AE47C6"/>
    <w:rsid w:val="00AE484B"/>
    <w:rsid w:val="00AE5C6A"/>
    <w:rsid w:val="00AF1035"/>
    <w:rsid w:val="00B0029A"/>
    <w:rsid w:val="00B032F4"/>
    <w:rsid w:val="00B035EB"/>
    <w:rsid w:val="00B07962"/>
    <w:rsid w:val="00B1262B"/>
    <w:rsid w:val="00B12B04"/>
    <w:rsid w:val="00B14B1B"/>
    <w:rsid w:val="00B15967"/>
    <w:rsid w:val="00B167A5"/>
    <w:rsid w:val="00B170E2"/>
    <w:rsid w:val="00B173DA"/>
    <w:rsid w:val="00B230DF"/>
    <w:rsid w:val="00B348D3"/>
    <w:rsid w:val="00B37026"/>
    <w:rsid w:val="00B600E0"/>
    <w:rsid w:val="00B640E8"/>
    <w:rsid w:val="00B72158"/>
    <w:rsid w:val="00B77636"/>
    <w:rsid w:val="00B84472"/>
    <w:rsid w:val="00B8765A"/>
    <w:rsid w:val="00B962CB"/>
    <w:rsid w:val="00BA1D8D"/>
    <w:rsid w:val="00BA7508"/>
    <w:rsid w:val="00BB1830"/>
    <w:rsid w:val="00BB4D18"/>
    <w:rsid w:val="00BC03E1"/>
    <w:rsid w:val="00BC22DE"/>
    <w:rsid w:val="00BC7575"/>
    <w:rsid w:val="00BD079F"/>
    <w:rsid w:val="00BD5142"/>
    <w:rsid w:val="00BE2DF3"/>
    <w:rsid w:val="00BE5DA9"/>
    <w:rsid w:val="00BF0825"/>
    <w:rsid w:val="00BF1980"/>
    <w:rsid w:val="00BF3097"/>
    <w:rsid w:val="00BF309C"/>
    <w:rsid w:val="00BF5C07"/>
    <w:rsid w:val="00C026E9"/>
    <w:rsid w:val="00C23FD8"/>
    <w:rsid w:val="00C2474A"/>
    <w:rsid w:val="00C27536"/>
    <w:rsid w:val="00C41A03"/>
    <w:rsid w:val="00C46C44"/>
    <w:rsid w:val="00C57576"/>
    <w:rsid w:val="00C643F3"/>
    <w:rsid w:val="00C71D79"/>
    <w:rsid w:val="00C73691"/>
    <w:rsid w:val="00C77733"/>
    <w:rsid w:val="00C81098"/>
    <w:rsid w:val="00C83977"/>
    <w:rsid w:val="00C857A2"/>
    <w:rsid w:val="00C9179F"/>
    <w:rsid w:val="00C921C0"/>
    <w:rsid w:val="00CA31D1"/>
    <w:rsid w:val="00CB0116"/>
    <w:rsid w:val="00CB51D4"/>
    <w:rsid w:val="00CB7DA5"/>
    <w:rsid w:val="00CC730E"/>
    <w:rsid w:val="00CE1258"/>
    <w:rsid w:val="00CE217B"/>
    <w:rsid w:val="00CE7D86"/>
    <w:rsid w:val="00CE7F0B"/>
    <w:rsid w:val="00D10537"/>
    <w:rsid w:val="00D11807"/>
    <w:rsid w:val="00D14522"/>
    <w:rsid w:val="00D24334"/>
    <w:rsid w:val="00D2539E"/>
    <w:rsid w:val="00D26FC3"/>
    <w:rsid w:val="00D3094A"/>
    <w:rsid w:val="00D4064B"/>
    <w:rsid w:val="00D51507"/>
    <w:rsid w:val="00D54DA0"/>
    <w:rsid w:val="00D6308A"/>
    <w:rsid w:val="00D631D3"/>
    <w:rsid w:val="00D73D2C"/>
    <w:rsid w:val="00D748DF"/>
    <w:rsid w:val="00D77BBD"/>
    <w:rsid w:val="00D82246"/>
    <w:rsid w:val="00D92707"/>
    <w:rsid w:val="00D9466F"/>
    <w:rsid w:val="00DA0CED"/>
    <w:rsid w:val="00DB2766"/>
    <w:rsid w:val="00DB50B5"/>
    <w:rsid w:val="00DB6855"/>
    <w:rsid w:val="00DC13D7"/>
    <w:rsid w:val="00DD0FBB"/>
    <w:rsid w:val="00DE096B"/>
    <w:rsid w:val="00DE2569"/>
    <w:rsid w:val="00DE7934"/>
    <w:rsid w:val="00DF10E9"/>
    <w:rsid w:val="00DF2593"/>
    <w:rsid w:val="00DF5414"/>
    <w:rsid w:val="00DF7AA9"/>
    <w:rsid w:val="00E00252"/>
    <w:rsid w:val="00E008C6"/>
    <w:rsid w:val="00E012FF"/>
    <w:rsid w:val="00E055DE"/>
    <w:rsid w:val="00E0616D"/>
    <w:rsid w:val="00E135CE"/>
    <w:rsid w:val="00E13B35"/>
    <w:rsid w:val="00E21F7E"/>
    <w:rsid w:val="00E24742"/>
    <w:rsid w:val="00E24FCB"/>
    <w:rsid w:val="00E31C90"/>
    <w:rsid w:val="00E34C28"/>
    <w:rsid w:val="00E454BD"/>
    <w:rsid w:val="00E45555"/>
    <w:rsid w:val="00E52922"/>
    <w:rsid w:val="00E53C33"/>
    <w:rsid w:val="00E54C5A"/>
    <w:rsid w:val="00E57144"/>
    <w:rsid w:val="00E6386D"/>
    <w:rsid w:val="00E722E9"/>
    <w:rsid w:val="00E86D01"/>
    <w:rsid w:val="00E87F0D"/>
    <w:rsid w:val="00E93C71"/>
    <w:rsid w:val="00EA75C8"/>
    <w:rsid w:val="00EA7E93"/>
    <w:rsid w:val="00EB1526"/>
    <w:rsid w:val="00EC0BCF"/>
    <w:rsid w:val="00EC1C7F"/>
    <w:rsid w:val="00EC32B0"/>
    <w:rsid w:val="00EC6191"/>
    <w:rsid w:val="00ED17FE"/>
    <w:rsid w:val="00EE37FD"/>
    <w:rsid w:val="00EF0695"/>
    <w:rsid w:val="00EF1B98"/>
    <w:rsid w:val="00EF3D4C"/>
    <w:rsid w:val="00EF4A9F"/>
    <w:rsid w:val="00EF6F1E"/>
    <w:rsid w:val="00F005C7"/>
    <w:rsid w:val="00F0174E"/>
    <w:rsid w:val="00F04E9E"/>
    <w:rsid w:val="00F07422"/>
    <w:rsid w:val="00F13635"/>
    <w:rsid w:val="00F13732"/>
    <w:rsid w:val="00F1654C"/>
    <w:rsid w:val="00F322F7"/>
    <w:rsid w:val="00F330F3"/>
    <w:rsid w:val="00F33175"/>
    <w:rsid w:val="00F37501"/>
    <w:rsid w:val="00F40F91"/>
    <w:rsid w:val="00F434D5"/>
    <w:rsid w:val="00F44D33"/>
    <w:rsid w:val="00F44EAD"/>
    <w:rsid w:val="00F452B7"/>
    <w:rsid w:val="00F611EE"/>
    <w:rsid w:val="00F634AF"/>
    <w:rsid w:val="00F73F2A"/>
    <w:rsid w:val="00F813C6"/>
    <w:rsid w:val="00F84650"/>
    <w:rsid w:val="00FA0498"/>
    <w:rsid w:val="00FB3AF0"/>
    <w:rsid w:val="00FB67C7"/>
    <w:rsid w:val="00FB7648"/>
    <w:rsid w:val="00FC0835"/>
    <w:rsid w:val="00FC34EF"/>
    <w:rsid w:val="00FC4170"/>
    <w:rsid w:val="00FC5303"/>
    <w:rsid w:val="00FC5491"/>
    <w:rsid w:val="00FC7BA6"/>
    <w:rsid w:val="00FE33AA"/>
    <w:rsid w:val="00FE4032"/>
    <w:rsid w:val="00FE528D"/>
    <w:rsid w:val="00FF17E7"/>
    <w:rsid w:val="00FF27B7"/>
    <w:rsid w:val="00FF49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15967"/>
    <w:pPr>
      <w:spacing w:before="100" w:beforeAutospacing="1" w:after="100" w:afterAutospacing="1"/>
      <w:jc w:val="left"/>
    </w:pPr>
    <w:rPr>
      <w:rFonts w:ascii="Calibri" w:hAnsi="Calibri"/>
      <w:kern w:val="0"/>
      <w:sz w:val="24"/>
    </w:rPr>
  </w:style>
  <w:style w:type="paragraph" w:styleId="a4">
    <w:name w:val="header"/>
    <w:basedOn w:val="a"/>
    <w:link w:val="Char"/>
    <w:uiPriority w:val="99"/>
    <w:semiHidden/>
    <w:unhideWhenUsed/>
    <w:rsid w:val="00C857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857A2"/>
    <w:rPr>
      <w:rFonts w:ascii="Times New Roman" w:eastAsia="宋体" w:hAnsi="Times New Roman" w:cs="Times New Roman"/>
      <w:sz w:val="18"/>
      <w:szCs w:val="18"/>
    </w:rPr>
  </w:style>
  <w:style w:type="paragraph" w:styleId="a5">
    <w:name w:val="footer"/>
    <w:basedOn w:val="a"/>
    <w:link w:val="Char0"/>
    <w:uiPriority w:val="99"/>
    <w:semiHidden/>
    <w:unhideWhenUsed/>
    <w:rsid w:val="00C857A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857A2"/>
    <w:rPr>
      <w:rFonts w:ascii="Times New Roman" w:eastAsia="宋体" w:hAnsi="Times New Roman" w:cs="Times New Roman"/>
      <w:sz w:val="18"/>
      <w:szCs w:val="18"/>
    </w:rPr>
  </w:style>
  <w:style w:type="paragraph" w:styleId="a6">
    <w:name w:val="Balloon Text"/>
    <w:basedOn w:val="a"/>
    <w:link w:val="Char1"/>
    <w:uiPriority w:val="99"/>
    <w:semiHidden/>
    <w:unhideWhenUsed/>
    <w:rsid w:val="00680327"/>
    <w:rPr>
      <w:sz w:val="18"/>
      <w:szCs w:val="18"/>
    </w:rPr>
  </w:style>
  <w:style w:type="character" w:customStyle="1" w:styleId="Char1">
    <w:name w:val="批注框文本 Char"/>
    <w:basedOn w:val="a0"/>
    <w:link w:val="a6"/>
    <w:uiPriority w:val="99"/>
    <w:semiHidden/>
    <w:rsid w:val="0068032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D3354-85CE-43DC-9887-AC59913C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2260</Words>
  <Characters>12883</Characters>
  <Application>Microsoft Office Word</Application>
  <DocSecurity>0</DocSecurity>
  <Lines>107</Lines>
  <Paragraphs>30</Paragraphs>
  <ScaleCrop>false</ScaleCrop>
  <Company>Microsoft</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潘祎</dc:creator>
  <cp:lastModifiedBy>user</cp:lastModifiedBy>
  <cp:revision>2</cp:revision>
  <cp:lastPrinted>2021-03-16T00:44:00Z</cp:lastPrinted>
  <dcterms:created xsi:type="dcterms:W3CDTF">2021-03-16T08:24:00Z</dcterms:created>
  <dcterms:modified xsi:type="dcterms:W3CDTF">2021-03-16T08:24:00Z</dcterms:modified>
</cp:coreProperties>
</file>