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AF" w:rsidRDefault="00C07889" w:rsidP="00A00760">
      <w:pPr>
        <w:jc w:val="center"/>
        <w:rPr>
          <w:rFonts w:ascii="黑体" w:eastAsia="黑体" w:hAnsi="黑体" w:hint="eastAsia"/>
          <w:b/>
          <w:sz w:val="32"/>
          <w:szCs w:val="32"/>
        </w:rPr>
      </w:pPr>
      <w:r w:rsidRPr="00107C73">
        <w:rPr>
          <w:rFonts w:ascii="黑体" w:eastAsia="黑体" w:hAnsi="黑体" w:hint="eastAsia"/>
          <w:b/>
          <w:sz w:val="32"/>
          <w:szCs w:val="32"/>
        </w:rPr>
        <w:t>上海市长宁区人民法院</w:t>
      </w:r>
    </w:p>
    <w:p w:rsidR="00C07889" w:rsidRPr="00107C73" w:rsidRDefault="00C07889" w:rsidP="00A00760">
      <w:pPr>
        <w:jc w:val="center"/>
        <w:rPr>
          <w:rFonts w:ascii="黑体" w:eastAsia="黑体" w:hAnsi="黑体"/>
          <w:b/>
          <w:sz w:val="32"/>
          <w:szCs w:val="32"/>
        </w:rPr>
      </w:pPr>
      <w:r w:rsidRPr="00107C73">
        <w:rPr>
          <w:rFonts w:ascii="黑体" w:eastAsia="黑体" w:hAnsi="黑体" w:hint="eastAsia"/>
          <w:b/>
          <w:sz w:val="32"/>
          <w:szCs w:val="32"/>
        </w:rPr>
        <w:t>2017-2019年</w:t>
      </w:r>
      <w:r w:rsidR="00E345D8" w:rsidRPr="002A4D9F">
        <w:rPr>
          <w:rFonts w:ascii="黑体" w:eastAsia="黑体" w:hAnsi="黑体" w:hint="eastAsia"/>
          <w:b/>
          <w:sz w:val="32"/>
          <w:szCs w:val="32"/>
        </w:rPr>
        <w:t>涉职业打假</w:t>
      </w:r>
      <w:r w:rsidRPr="00107C73">
        <w:rPr>
          <w:rFonts w:ascii="黑体" w:eastAsia="黑体" w:hAnsi="黑体" w:hint="eastAsia"/>
          <w:b/>
          <w:sz w:val="32"/>
          <w:szCs w:val="32"/>
        </w:rPr>
        <w:t>网络购物合同纠纷案件审判白皮书</w:t>
      </w:r>
    </w:p>
    <w:p w:rsidR="00C07889" w:rsidRPr="00C07889" w:rsidRDefault="00C07889" w:rsidP="00C07889">
      <w:pPr>
        <w:rPr>
          <w:rFonts w:ascii="仿宋_GB2312" w:eastAsia="仿宋_GB2312"/>
          <w:sz w:val="28"/>
          <w:szCs w:val="28"/>
        </w:rPr>
      </w:pPr>
    </w:p>
    <w:p w:rsidR="00F0171B" w:rsidRDefault="006510C7" w:rsidP="00F0171B">
      <w:pPr>
        <w:ind w:firstLineChars="200" w:firstLine="560"/>
        <w:rPr>
          <w:rFonts w:ascii="仿宋_GB2312" w:eastAsia="仿宋_GB2312"/>
          <w:sz w:val="28"/>
          <w:szCs w:val="28"/>
        </w:rPr>
      </w:pPr>
      <w:r w:rsidRPr="00C07889">
        <w:rPr>
          <w:rFonts w:ascii="仿宋_GB2312" w:eastAsia="仿宋_GB2312" w:hint="eastAsia"/>
          <w:sz w:val="28"/>
          <w:szCs w:val="28"/>
        </w:rPr>
        <w:t>随着我国互联网经济</w:t>
      </w:r>
      <w:r w:rsidR="00E1104B">
        <w:rPr>
          <w:rFonts w:ascii="仿宋_GB2312" w:eastAsia="仿宋_GB2312" w:hint="eastAsia"/>
          <w:sz w:val="28"/>
          <w:szCs w:val="28"/>
        </w:rPr>
        <w:t>及电子商务</w:t>
      </w:r>
      <w:r w:rsidRPr="00C07889">
        <w:rPr>
          <w:rFonts w:ascii="仿宋_GB2312" w:eastAsia="仿宋_GB2312" w:hint="eastAsia"/>
          <w:sz w:val="28"/>
          <w:szCs w:val="28"/>
        </w:rPr>
        <w:t>的快速发展，</w:t>
      </w:r>
      <w:r>
        <w:rPr>
          <w:rFonts w:ascii="仿宋_GB2312" w:eastAsia="仿宋_GB2312" w:hint="eastAsia"/>
          <w:sz w:val="28"/>
          <w:szCs w:val="28"/>
        </w:rPr>
        <w:t>网络购物</w:t>
      </w:r>
      <w:r w:rsidRPr="00C07889">
        <w:rPr>
          <w:rFonts w:ascii="仿宋_GB2312" w:eastAsia="仿宋_GB2312" w:hint="eastAsia"/>
          <w:sz w:val="28"/>
          <w:szCs w:val="28"/>
        </w:rPr>
        <w:t>消费在人们生活中的</w:t>
      </w:r>
      <w:r>
        <w:rPr>
          <w:rFonts w:ascii="仿宋_GB2312" w:eastAsia="仿宋_GB2312" w:hint="eastAsia"/>
          <w:sz w:val="28"/>
          <w:szCs w:val="28"/>
        </w:rPr>
        <w:t>比重</w:t>
      </w:r>
      <w:r w:rsidR="00377C5A">
        <w:rPr>
          <w:rFonts w:ascii="仿宋_GB2312" w:eastAsia="仿宋_GB2312" w:hint="eastAsia"/>
          <w:sz w:val="28"/>
          <w:szCs w:val="28"/>
        </w:rPr>
        <w:t>大幅提升</w:t>
      </w:r>
      <w:r w:rsidR="00500FA1">
        <w:rPr>
          <w:rFonts w:ascii="仿宋_GB2312" w:eastAsia="仿宋_GB2312" w:hint="eastAsia"/>
          <w:sz w:val="28"/>
          <w:szCs w:val="28"/>
        </w:rPr>
        <w:t>。</w:t>
      </w:r>
      <w:r w:rsidR="005901AD" w:rsidRPr="00C07889">
        <w:rPr>
          <w:rFonts w:ascii="仿宋_GB2312" w:eastAsia="仿宋_GB2312" w:hint="eastAsia"/>
          <w:sz w:val="28"/>
          <w:szCs w:val="28"/>
        </w:rPr>
        <w:t>据国家统计局统计，2019年1-1</w:t>
      </w:r>
      <w:r w:rsidR="00892644">
        <w:rPr>
          <w:rFonts w:ascii="仿宋_GB2312" w:eastAsia="仿宋_GB2312" w:hint="eastAsia"/>
          <w:sz w:val="28"/>
          <w:szCs w:val="28"/>
        </w:rPr>
        <w:t>1</w:t>
      </w:r>
      <w:r w:rsidR="005901AD" w:rsidRPr="00C07889">
        <w:rPr>
          <w:rFonts w:ascii="仿宋_GB2312" w:eastAsia="仿宋_GB2312" w:hint="eastAsia"/>
          <w:sz w:val="28"/>
          <w:szCs w:val="28"/>
        </w:rPr>
        <w:t>月，全国</w:t>
      </w:r>
      <w:r w:rsidR="008B3BB1">
        <w:rPr>
          <w:rFonts w:ascii="仿宋_GB2312" w:eastAsia="仿宋_GB2312" w:hint="eastAsia"/>
          <w:sz w:val="28"/>
          <w:szCs w:val="28"/>
        </w:rPr>
        <w:t>实物商品</w:t>
      </w:r>
      <w:r w:rsidR="005901AD" w:rsidRPr="00C07889">
        <w:rPr>
          <w:rFonts w:ascii="仿宋_GB2312" w:eastAsia="仿宋_GB2312" w:hint="eastAsia"/>
          <w:sz w:val="28"/>
          <w:szCs w:val="28"/>
        </w:rPr>
        <w:t>网上零售额</w:t>
      </w:r>
      <w:r w:rsidR="008B3BB1">
        <w:rPr>
          <w:rFonts w:ascii="仿宋_GB2312" w:eastAsia="仿宋_GB2312" w:hint="eastAsia"/>
          <w:sz w:val="28"/>
          <w:szCs w:val="28"/>
        </w:rPr>
        <w:t>76032</w:t>
      </w:r>
      <w:r w:rsidR="005901AD" w:rsidRPr="00C07889">
        <w:rPr>
          <w:rFonts w:ascii="仿宋_GB2312" w:eastAsia="仿宋_GB2312" w:hint="eastAsia"/>
          <w:sz w:val="28"/>
          <w:szCs w:val="28"/>
        </w:rPr>
        <w:t>亿元，同比增长1</w:t>
      </w:r>
      <w:r w:rsidR="008B3BB1">
        <w:rPr>
          <w:rFonts w:ascii="仿宋_GB2312" w:eastAsia="仿宋_GB2312" w:hint="eastAsia"/>
          <w:sz w:val="28"/>
          <w:szCs w:val="28"/>
        </w:rPr>
        <w:t>9</w:t>
      </w:r>
      <w:r w:rsidR="005901AD" w:rsidRPr="00C07889">
        <w:rPr>
          <w:rFonts w:ascii="仿宋_GB2312" w:eastAsia="仿宋_GB2312" w:hint="eastAsia"/>
          <w:sz w:val="28"/>
          <w:szCs w:val="28"/>
        </w:rPr>
        <w:t>.</w:t>
      </w:r>
      <w:r w:rsidR="008B3BB1">
        <w:rPr>
          <w:rFonts w:ascii="仿宋_GB2312" w:eastAsia="仿宋_GB2312" w:hint="eastAsia"/>
          <w:sz w:val="28"/>
          <w:szCs w:val="28"/>
        </w:rPr>
        <w:t>7</w:t>
      </w:r>
      <w:r w:rsidR="005901AD" w:rsidRPr="00C07889">
        <w:rPr>
          <w:rFonts w:ascii="仿宋_GB2312" w:eastAsia="仿宋_GB2312" w:hint="eastAsia"/>
          <w:sz w:val="28"/>
          <w:szCs w:val="28"/>
        </w:rPr>
        <w:t>%，占社会消费品零售总额的</w:t>
      </w:r>
      <w:r w:rsidR="008B3BB1">
        <w:rPr>
          <w:rFonts w:ascii="仿宋_GB2312" w:eastAsia="仿宋_GB2312" w:hint="eastAsia"/>
          <w:sz w:val="28"/>
          <w:szCs w:val="28"/>
        </w:rPr>
        <w:t>20</w:t>
      </w:r>
      <w:r w:rsidR="005901AD" w:rsidRPr="00C07889">
        <w:rPr>
          <w:rFonts w:ascii="仿宋_GB2312" w:eastAsia="仿宋_GB2312" w:hint="eastAsia"/>
          <w:sz w:val="28"/>
          <w:szCs w:val="28"/>
        </w:rPr>
        <w:t>.</w:t>
      </w:r>
      <w:r w:rsidR="008B3BB1">
        <w:rPr>
          <w:rFonts w:ascii="仿宋_GB2312" w:eastAsia="仿宋_GB2312" w:hint="eastAsia"/>
          <w:sz w:val="28"/>
          <w:szCs w:val="28"/>
        </w:rPr>
        <w:t>4</w:t>
      </w:r>
      <w:r w:rsidR="005901AD" w:rsidRPr="00C07889">
        <w:rPr>
          <w:rFonts w:ascii="仿宋_GB2312" w:eastAsia="仿宋_GB2312" w:hint="eastAsia"/>
          <w:sz w:val="28"/>
          <w:szCs w:val="28"/>
        </w:rPr>
        <w:t>%。</w:t>
      </w:r>
      <w:r w:rsidR="00EB3C62">
        <w:rPr>
          <w:rStyle w:val="a5"/>
          <w:rFonts w:ascii="仿宋_GB2312" w:eastAsia="仿宋_GB2312"/>
          <w:sz w:val="28"/>
          <w:szCs w:val="28"/>
        </w:rPr>
        <w:footnoteReference w:id="2"/>
      </w:r>
      <w:r w:rsidR="00F0171B" w:rsidRPr="00C07889">
        <w:rPr>
          <w:rFonts w:ascii="仿宋_GB2312" w:eastAsia="仿宋_GB2312" w:hint="eastAsia"/>
          <w:sz w:val="28"/>
          <w:szCs w:val="28"/>
        </w:rPr>
        <w:t>网络购物</w:t>
      </w:r>
      <w:r w:rsidR="00F0171B">
        <w:rPr>
          <w:rFonts w:ascii="仿宋_GB2312" w:eastAsia="仿宋_GB2312" w:hint="eastAsia"/>
          <w:sz w:val="28"/>
          <w:szCs w:val="28"/>
        </w:rPr>
        <w:t>快速发展</w:t>
      </w:r>
      <w:r w:rsidR="00F0171B" w:rsidRPr="00C07889">
        <w:rPr>
          <w:rFonts w:ascii="仿宋_GB2312" w:eastAsia="仿宋_GB2312" w:hint="eastAsia"/>
          <w:sz w:val="28"/>
          <w:szCs w:val="28"/>
        </w:rPr>
        <w:t>的同时，</w:t>
      </w:r>
      <w:r w:rsidR="00E1104B" w:rsidRPr="0017047C">
        <w:rPr>
          <w:rFonts w:ascii="仿宋_GB2312" w:eastAsia="仿宋_GB2312" w:hint="eastAsia"/>
          <w:sz w:val="28"/>
          <w:szCs w:val="28"/>
        </w:rPr>
        <w:t>职业打假群体</w:t>
      </w:r>
      <w:r w:rsidR="00F0171B">
        <w:rPr>
          <w:rFonts w:ascii="仿宋_GB2312" w:eastAsia="仿宋_GB2312" w:hint="eastAsia"/>
          <w:sz w:val="28"/>
          <w:szCs w:val="28"/>
        </w:rPr>
        <w:t>的</w:t>
      </w:r>
      <w:r w:rsidR="00377C5A" w:rsidRPr="00755106">
        <w:rPr>
          <w:rFonts w:ascii="仿宋_GB2312" w:eastAsia="仿宋_GB2312" w:hint="eastAsia"/>
          <w:sz w:val="28"/>
          <w:szCs w:val="28"/>
        </w:rPr>
        <w:t>打假</w:t>
      </w:r>
      <w:r w:rsidR="0052518D" w:rsidRPr="00755106">
        <w:rPr>
          <w:rFonts w:ascii="仿宋_GB2312" w:eastAsia="仿宋_GB2312" w:hint="eastAsia"/>
          <w:sz w:val="28"/>
          <w:szCs w:val="28"/>
        </w:rPr>
        <w:t>阵地</w:t>
      </w:r>
      <w:r w:rsidR="00377C5A" w:rsidRPr="00755106">
        <w:rPr>
          <w:rFonts w:ascii="仿宋_GB2312" w:eastAsia="仿宋_GB2312" w:hint="eastAsia"/>
          <w:sz w:val="28"/>
          <w:szCs w:val="28"/>
        </w:rPr>
        <w:t>也从线下</w:t>
      </w:r>
      <w:r w:rsidR="00F0171B">
        <w:rPr>
          <w:rFonts w:ascii="仿宋_GB2312" w:eastAsia="仿宋_GB2312" w:hint="eastAsia"/>
          <w:sz w:val="28"/>
          <w:szCs w:val="28"/>
        </w:rPr>
        <w:t>迅速切换</w:t>
      </w:r>
      <w:r w:rsidR="00377C5A" w:rsidRPr="00755106">
        <w:rPr>
          <w:rFonts w:ascii="仿宋_GB2312" w:eastAsia="仿宋_GB2312" w:hint="eastAsia"/>
          <w:sz w:val="28"/>
          <w:szCs w:val="28"/>
        </w:rPr>
        <w:t>到线上。</w:t>
      </w:r>
      <w:r w:rsidR="00ED1210" w:rsidRPr="00755106">
        <w:rPr>
          <w:rFonts w:ascii="仿宋_GB2312" w:eastAsia="仿宋_GB2312" w:hint="eastAsia"/>
          <w:sz w:val="28"/>
          <w:szCs w:val="28"/>
        </w:rPr>
        <w:t>网络</w:t>
      </w:r>
      <w:r w:rsidR="000E56AE" w:rsidRPr="00755106">
        <w:rPr>
          <w:rFonts w:ascii="仿宋_GB2312" w:eastAsia="仿宋_GB2312" w:hint="eastAsia"/>
          <w:sz w:val="28"/>
          <w:szCs w:val="28"/>
        </w:rPr>
        <w:t>职业打假</w:t>
      </w:r>
      <w:r w:rsidR="00F0171B">
        <w:rPr>
          <w:rFonts w:ascii="仿宋_GB2312" w:eastAsia="仿宋_GB2312" w:hint="eastAsia"/>
          <w:sz w:val="28"/>
          <w:szCs w:val="28"/>
        </w:rPr>
        <w:t>虽然</w:t>
      </w:r>
      <w:r w:rsidR="000E56AE" w:rsidRPr="00755106">
        <w:rPr>
          <w:rFonts w:ascii="仿宋_GB2312" w:eastAsia="仿宋_GB2312" w:hint="eastAsia"/>
          <w:sz w:val="28"/>
          <w:szCs w:val="28"/>
        </w:rPr>
        <w:t>在</w:t>
      </w:r>
      <w:r w:rsidR="00ED1210" w:rsidRPr="00755106">
        <w:rPr>
          <w:rFonts w:ascii="仿宋_GB2312" w:eastAsia="仿宋_GB2312" w:hint="eastAsia"/>
          <w:sz w:val="28"/>
          <w:szCs w:val="28"/>
        </w:rPr>
        <w:t>打击假冒伪劣产品、</w:t>
      </w:r>
      <w:r w:rsidR="00E1104B" w:rsidRPr="00755106">
        <w:rPr>
          <w:rFonts w:ascii="仿宋_GB2312" w:eastAsia="仿宋_GB2312" w:hint="eastAsia"/>
          <w:sz w:val="28"/>
          <w:szCs w:val="28"/>
        </w:rPr>
        <w:t>推动消费者维权</w:t>
      </w:r>
      <w:r w:rsidR="00F0171B" w:rsidRPr="00755106">
        <w:rPr>
          <w:rFonts w:ascii="仿宋_GB2312" w:eastAsia="仿宋_GB2312" w:hint="eastAsia"/>
          <w:sz w:val="28"/>
          <w:szCs w:val="28"/>
        </w:rPr>
        <w:t>、净化市场环境</w:t>
      </w:r>
      <w:r w:rsidR="000E56AE" w:rsidRPr="00755106">
        <w:rPr>
          <w:rFonts w:ascii="仿宋_GB2312" w:eastAsia="仿宋_GB2312" w:hint="eastAsia"/>
          <w:sz w:val="28"/>
          <w:szCs w:val="28"/>
        </w:rPr>
        <w:t>方面起到一定积极作用</w:t>
      </w:r>
      <w:r w:rsidR="002061AB" w:rsidRPr="00755106">
        <w:rPr>
          <w:rFonts w:ascii="仿宋_GB2312" w:eastAsia="仿宋_GB2312" w:hint="eastAsia"/>
          <w:sz w:val="28"/>
          <w:szCs w:val="28"/>
        </w:rPr>
        <w:t>，</w:t>
      </w:r>
      <w:r w:rsidR="000E56AE" w:rsidRPr="00755106">
        <w:rPr>
          <w:rFonts w:ascii="仿宋_GB2312" w:eastAsia="仿宋_GB2312" w:hint="eastAsia"/>
          <w:sz w:val="28"/>
          <w:szCs w:val="28"/>
        </w:rPr>
        <w:t>但负面影响也逐步显现</w:t>
      </w:r>
      <w:r w:rsidR="00F0171B">
        <w:rPr>
          <w:rFonts w:ascii="仿宋_GB2312" w:eastAsia="仿宋_GB2312" w:hint="eastAsia"/>
          <w:sz w:val="28"/>
          <w:szCs w:val="28"/>
        </w:rPr>
        <w:t>。</w:t>
      </w:r>
      <w:r w:rsidR="00EF2F66" w:rsidRPr="00C07889">
        <w:rPr>
          <w:rFonts w:ascii="仿宋_GB2312" w:eastAsia="仿宋_GB2312" w:hint="eastAsia"/>
          <w:sz w:val="28"/>
          <w:szCs w:val="28"/>
        </w:rPr>
        <w:t>职业</w:t>
      </w:r>
      <w:r w:rsidR="004C639A">
        <w:rPr>
          <w:rFonts w:ascii="仿宋_GB2312" w:eastAsia="仿宋_GB2312" w:hint="eastAsia"/>
          <w:sz w:val="28"/>
          <w:szCs w:val="28"/>
        </w:rPr>
        <w:t>打假</w:t>
      </w:r>
      <w:r w:rsidR="00EF2F66">
        <w:rPr>
          <w:rFonts w:ascii="仿宋_GB2312" w:eastAsia="仿宋_GB2312" w:hint="eastAsia"/>
          <w:sz w:val="28"/>
          <w:szCs w:val="28"/>
        </w:rPr>
        <w:t>高额</w:t>
      </w:r>
      <w:r w:rsidR="00EF2F66" w:rsidRPr="00C07889">
        <w:rPr>
          <w:rFonts w:ascii="仿宋_GB2312" w:eastAsia="仿宋_GB2312" w:hint="eastAsia"/>
          <w:sz w:val="28"/>
          <w:szCs w:val="28"/>
        </w:rPr>
        <w:t>索赔</w:t>
      </w:r>
      <w:r w:rsidR="00EF2F66">
        <w:rPr>
          <w:rFonts w:ascii="仿宋_GB2312" w:eastAsia="仿宋_GB2312" w:hint="eastAsia"/>
          <w:sz w:val="28"/>
          <w:szCs w:val="28"/>
        </w:rPr>
        <w:t>偏向</w:t>
      </w:r>
      <w:r w:rsidR="0098092D">
        <w:rPr>
          <w:rFonts w:ascii="仿宋_GB2312" w:eastAsia="仿宋_GB2312" w:hint="eastAsia"/>
          <w:sz w:val="28"/>
          <w:szCs w:val="28"/>
        </w:rPr>
        <w:t>以牟利为目的</w:t>
      </w:r>
      <w:r w:rsidR="00E317E6" w:rsidRPr="00755106">
        <w:rPr>
          <w:rFonts w:ascii="仿宋_GB2312" w:eastAsia="仿宋_GB2312" w:hint="eastAsia"/>
          <w:sz w:val="28"/>
          <w:szCs w:val="28"/>
        </w:rPr>
        <w:t>，</w:t>
      </w:r>
      <w:r w:rsidR="0098092D">
        <w:rPr>
          <w:rFonts w:ascii="仿宋_GB2312" w:eastAsia="仿宋_GB2312" w:hint="eastAsia"/>
          <w:sz w:val="28"/>
          <w:szCs w:val="28"/>
        </w:rPr>
        <w:t>甚至形成灰色产业链，</w:t>
      </w:r>
      <w:r w:rsidR="0052518D" w:rsidRPr="00755106">
        <w:rPr>
          <w:rFonts w:ascii="仿宋_GB2312" w:eastAsia="仿宋_GB2312" w:hint="eastAsia"/>
          <w:sz w:val="28"/>
          <w:szCs w:val="28"/>
        </w:rPr>
        <w:t>不仅</w:t>
      </w:r>
      <w:r w:rsidR="0098092D">
        <w:rPr>
          <w:rFonts w:ascii="仿宋_GB2312" w:eastAsia="仿宋_GB2312" w:hint="eastAsia"/>
          <w:sz w:val="28"/>
          <w:szCs w:val="28"/>
        </w:rPr>
        <w:t>降低</w:t>
      </w:r>
      <w:r w:rsidR="0052518D" w:rsidRPr="00755106">
        <w:rPr>
          <w:rFonts w:ascii="仿宋_GB2312" w:eastAsia="仿宋_GB2312" w:hint="eastAsia"/>
          <w:sz w:val="28"/>
          <w:szCs w:val="28"/>
        </w:rPr>
        <w:t>了打假的正面效果，也</w:t>
      </w:r>
      <w:r w:rsidR="000E56AE" w:rsidRPr="00755106">
        <w:rPr>
          <w:rFonts w:ascii="仿宋_GB2312" w:eastAsia="仿宋_GB2312" w:hint="eastAsia"/>
          <w:sz w:val="28"/>
          <w:szCs w:val="28"/>
        </w:rPr>
        <w:t>扰乱</w:t>
      </w:r>
      <w:r w:rsidR="00E317E6" w:rsidRPr="00755106">
        <w:rPr>
          <w:rFonts w:ascii="仿宋_GB2312" w:eastAsia="仿宋_GB2312" w:hint="eastAsia"/>
          <w:sz w:val="28"/>
          <w:szCs w:val="28"/>
        </w:rPr>
        <w:t>了</w:t>
      </w:r>
      <w:r w:rsidR="000E56AE" w:rsidRPr="00755106">
        <w:rPr>
          <w:rFonts w:ascii="仿宋_GB2312" w:eastAsia="仿宋_GB2312" w:hint="eastAsia"/>
          <w:sz w:val="28"/>
          <w:szCs w:val="28"/>
        </w:rPr>
        <w:t>正常的市场秩序</w:t>
      </w:r>
      <w:r w:rsidR="00E317E6" w:rsidRPr="00755106">
        <w:rPr>
          <w:rFonts w:ascii="仿宋_GB2312" w:eastAsia="仿宋_GB2312" w:hint="eastAsia"/>
          <w:sz w:val="28"/>
          <w:szCs w:val="28"/>
        </w:rPr>
        <w:t>和营商环境</w:t>
      </w:r>
      <w:r w:rsidR="00E9259E" w:rsidRPr="00755106">
        <w:rPr>
          <w:rFonts w:ascii="仿宋_GB2312" w:eastAsia="仿宋_GB2312" w:hint="eastAsia"/>
          <w:sz w:val="28"/>
          <w:szCs w:val="28"/>
        </w:rPr>
        <w:t>。</w:t>
      </w:r>
      <w:r w:rsidR="006B2830">
        <w:rPr>
          <w:rFonts w:ascii="仿宋_GB2312" w:eastAsia="仿宋_GB2312" w:hint="eastAsia"/>
          <w:sz w:val="28"/>
          <w:szCs w:val="28"/>
        </w:rPr>
        <w:t>新形势下</w:t>
      </w:r>
      <w:r w:rsidR="005731F8">
        <w:rPr>
          <w:rFonts w:ascii="仿宋_GB2312" w:eastAsia="仿宋_GB2312" w:hint="eastAsia"/>
          <w:sz w:val="28"/>
          <w:szCs w:val="28"/>
        </w:rPr>
        <w:t>对</w:t>
      </w:r>
      <w:r w:rsidR="006B2830">
        <w:rPr>
          <w:rFonts w:ascii="仿宋_GB2312" w:eastAsia="仿宋_GB2312" w:hint="eastAsia"/>
          <w:sz w:val="28"/>
          <w:szCs w:val="28"/>
        </w:rPr>
        <w:t>职业打假</w:t>
      </w:r>
      <w:r w:rsidR="005731F8">
        <w:rPr>
          <w:rFonts w:ascii="仿宋_GB2312" w:eastAsia="仿宋_GB2312" w:hint="eastAsia"/>
          <w:sz w:val="28"/>
          <w:szCs w:val="28"/>
        </w:rPr>
        <w:t>的</w:t>
      </w:r>
      <w:r w:rsidR="006B2830" w:rsidRPr="00C07889">
        <w:rPr>
          <w:rFonts w:ascii="仿宋_GB2312" w:eastAsia="仿宋_GB2312" w:hint="eastAsia"/>
          <w:sz w:val="28"/>
          <w:szCs w:val="28"/>
        </w:rPr>
        <w:t>法律引导和价值判断值得</w:t>
      </w:r>
      <w:r w:rsidR="006B2830">
        <w:rPr>
          <w:rFonts w:ascii="仿宋_GB2312" w:eastAsia="仿宋_GB2312" w:hint="eastAsia"/>
          <w:sz w:val="28"/>
          <w:szCs w:val="28"/>
        </w:rPr>
        <w:t>进一步反思和关注</w:t>
      </w:r>
      <w:r w:rsidR="006B2830" w:rsidRPr="00C07889">
        <w:rPr>
          <w:rFonts w:ascii="仿宋_GB2312" w:eastAsia="仿宋_GB2312" w:hint="eastAsia"/>
          <w:sz w:val="28"/>
          <w:szCs w:val="28"/>
        </w:rPr>
        <w:t>。</w:t>
      </w:r>
    </w:p>
    <w:p w:rsidR="00C07889" w:rsidRPr="00C07889" w:rsidRDefault="00F0171B" w:rsidP="00F0171B">
      <w:pPr>
        <w:ind w:firstLineChars="200" w:firstLine="560"/>
        <w:rPr>
          <w:rFonts w:ascii="仿宋_GB2312" w:eastAsia="仿宋_GB2312"/>
          <w:sz w:val="28"/>
          <w:szCs w:val="28"/>
        </w:rPr>
      </w:pPr>
      <w:r>
        <w:rPr>
          <w:rFonts w:ascii="仿宋_GB2312" w:eastAsia="仿宋_GB2312" w:hint="eastAsia"/>
          <w:sz w:val="28"/>
          <w:szCs w:val="28"/>
        </w:rPr>
        <w:t>基于此</w:t>
      </w:r>
      <w:r w:rsidR="009E0679">
        <w:rPr>
          <w:rFonts w:ascii="仿宋_GB2312" w:eastAsia="仿宋_GB2312" w:hint="eastAsia"/>
          <w:sz w:val="28"/>
          <w:szCs w:val="28"/>
        </w:rPr>
        <w:t>，</w:t>
      </w:r>
      <w:r w:rsidR="00C07889" w:rsidRPr="00C07889">
        <w:rPr>
          <w:rFonts w:ascii="仿宋_GB2312" w:eastAsia="仿宋_GB2312" w:hint="eastAsia"/>
          <w:sz w:val="28"/>
          <w:szCs w:val="28"/>
        </w:rPr>
        <w:t>长宁法院以近三年</w:t>
      </w:r>
      <w:r w:rsidR="002061AB" w:rsidRPr="00C07889">
        <w:rPr>
          <w:rFonts w:ascii="仿宋_GB2312" w:eastAsia="仿宋_GB2312" w:hint="eastAsia"/>
          <w:sz w:val="28"/>
          <w:szCs w:val="28"/>
        </w:rPr>
        <w:t>审理的</w:t>
      </w:r>
      <w:r w:rsidR="002061AB">
        <w:rPr>
          <w:rFonts w:ascii="仿宋_GB2312" w:eastAsia="仿宋_GB2312" w:hint="eastAsia"/>
          <w:sz w:val="28"/>
          <w:szCs w:val="28"/>
        </w:rPr>
        <w:t>涉职业打假</w:t>
      </w:r>
      <w:r w:rsidR="00C07889" w:rsidRPr="00C07889">
        <w:rPr>
          <w:rFonts w:ascii="仿宋_GB2312" w:eastAsia="仿宋_GB2312" w:hint="eastAsia"/>
          <w:sz w:val="28"/>
          <w:szCs w:val="28"/>
        </w:rPr>
        <w:t>网络购物</w:t>
      </w:r>
      <w:r w:rsidR="002061AB">
        <w:rPr>
          <w:rFonts w:ascii="仿宋_GB2312" w:eastAsia="仿宋_GB2312" w:hint="eastAsia"/>
          <w:sz w:val="28"/>
          <w:szCs w:val="28"/>
        </w:rPr>
        <w:t>合同</w:t>
      </w:r>
      <w:r w:rsidR="00C07889" w:rsidRPr="00C07889">
        <w:rPr>
          <w:rFonts w:ascii="仿宋_GB2312" w:eastAsia="仿宋_GB2312" w:hint="eastAsia"/>
          <w:sz w:val="28"/>
          <w:szCs w:val="28"/>
        </w:rPr>
        <w:t>纠纷案件为</w:t>
      </w:r>
      <w:r w:rsidR="002061AB">
        <w:rPr>
          <w:rFonts w:ascii="仿宋_GB2312" w:eastAsia="仿宋_GB2312" w:hint="eastAsia"/>
          <w:sz w:val="28"/>
          <w:szCs w:val="28"/>
        </w:rPr>
        <w:t>分析</w:t>
      </w:r>
      <w:r w:rsidR="00C07889" w:rsidRPr="00C07889">
        <w:rPr>
          <w:rFonts w:ascii="仿宋_GB2312" w:eastAsia="仿宋_GB2312" w:hint="eastAsia"/>
          <w:sz w:val="28"/>
          <w:szCs w:val="28"/>
        </w:rPr>
        <w:t>样本，开展专题调研，</w:t>
      </w:r>
      <w:r w:rsidR="002061AB" w:rsidRPr="00755106">
        <w:rPr>
          <w:rFonts w:ascii="仿宋_GB2312" w:eastAsia="仿宋_GB2312" w:hAnsi="Calibri" w:cs="Times New Roman" w:hint="eastAsia"/>
          <w:sz w:val="28"/>
          <w:szCs w:val="28"/>
        </w:rPr>
        <w:t>梳理归纳涉诉案件基本情况</w:t>
      </w:r>
      <w:r w:rsidR="002061AB" w:rsidRPr="00755106">
        <w:rPr>
          <w:rFonts w:ascii="仿宋_GB2312" w:eastAsia="仿宋_GB2312" w:hint="eastAsia"/>
          <w:sz w:val="28"/>
          <w:szCs w:val="28"/>
        </w:rPr>
        <w:t>和主要特征</w:t>
      </w:r>
      <w:r w:rsidR="002061AB" w:rsidRPr="00755106">
        <w:rPr>
          <w:rFonts w:ascii="仿宋_GB2312" w:eastAsia="仿宋_GB2312" w:hAnsi="Calibri" w:cs="Times New Roman" w:hint="eastAsia"/>
          <w:sz w:val="28"/>
          <w:szCs w:val="28"/>
        </w:rPr>
        <w:t>，剖析涉诉纠纷</w:t>
      </w:r>
      <w:r w:rsidR="002061AB" w:rsidRPr="00755106">
        <w:rPr>
          <w:rFonts w:ascii="仿宋_GB2312" w:eastAsia="仿宋_GB2312" w:hint="eastAsia"/>
          <w:sz w:val="28"/>
          <w:szCs w:val="28"/>
        </w:rPr>
        <w:t>审理难点与争议</w:t>
      </w:r>
      <w:r w:rsidR="002061AB" w:rsidRPr="00755106">
        <w:rPr>
          <w:rFonts w:ascii="仿宋_GB2312" w:eastAsia="仿宋_GB2312" w:hAnsi="Calibri" w:cs="Times New Roman" w:hint="eastAsia"/>
          <w:sz w:val="28"/>
          <w:szCs w:val="28"/>
        </w:rPr>
        <w:t>，并提出解决问题的建议与对策，以期进一步净化</w:t>
      </w:r>
      <w:r w:rsidR="002061AB" w:rsidRPr="00755106">
        <w:rPr>
          <w:rFonts w:ascii="仿宋_GB2312" w:eastAsia="仿宋_GB2312" w:hint="eastAsia"/>
          <w:sz w:val="28"/>
          <w:szCs w:val="28"/>
        </w:rPr>
        <w:t>网络空间</w:t>
      </w:r>
      <w:r w:rsidR="002061AB" w:rsidRPr="00755106">
        <w:rPr>
          <w:rFonts w:ascii="仿宋_GB2312" w:eastAsia="仿宋_GB2312" w:hAnsi="Calibri" w:cs="Times New Roman" w:hint="eastAsia"/>
          <w:sz w:val="28"/>
          <w:szCs w:val="28"/>
        </w:rPr>
        <w:t>，</w:t>
      </w:r>
      <w:r w:rsidR="00A600A2" w:rsidRPr="00755106">
        <w:rPr>
          <w:rFonts w:ascii="仿宋_GB2312" w:eastAsia="仿宋_GB2312" w:hint="eastAsia"/>
          <w:sz w:val="28"/>
          <w:szCs w:val="28"/>
        </w:rPr>
        <w:t>优化营商环境，</w:t>
      </w:r>
      <w:r w:rsidR="00D11268" w:rsidRPr="00755106">
        <w:rPr>
          <w:rFonts w:ascii="仿宋_GB2312" w:eastAsia="仿宋_GB2312" w:hAnsi="Calibri" w:cs="Times New Roman" w:hint="eastAsia"/>
          <w:sz w:val="28"/>
          <w:szCs w:val="28"/>
        </w:rPr>
        <w:t>倡导诚实理性的互联网交易</w:t>
      </w:r>
      <w:r w:rsidR="005731F8">
        <w:rPr>
          <w:rFonts w:ascii="仿宋_GB2312" w:eastAsia="仿宋_GB2312" w:hAnsi="Calibri" w:cs="Times New Roman" w:hint="eastAsia"/>
          <w:sz w:val="28"/>
          <w:szCs w:val="28"/>
        </w:rPr>
        <w:t>秩序</w:t>
      </w:r>
      <w:r w:rsidR="002061AB" w:rsidRPr="00755106">
        <w:rPr>
          <w:rFonts w:ascii="仿宋_GB2312" w:eastAsia="仿宋_GB2312" w:hint="eastAsia"/>
          <w:sz w:val="28"/>
          <w:szCs w:val="28"/>
        </w:rPr>
        <w:t>，促使互联网经济在法治轨道内健康运行</w:t>
      </w:r>
      <w:r w:rsidR="00C07889" w:rsidRPr="00755106">
        <w:rPr>
          <w:rFonts w:ascii="仿宋_GB2312" w:eastAsia="仿宋_GB2312" w:hint="eastAsia"/>
          <w:sz w:val="28"/>
          <w:szCs w:val="28"/>
        </w:rPr>
        <w:t>。</w:t>
      </w:r>
    </w:p>
    <w:p w:rsidR="00C07889" w:rsidRPr="00107C73" w:rsidRDefault="00C07889" w:rsidP="002F1EAF">
      <w:pPr>
        <w:ind w:firstLineChars="200" w:firstLine="560"/>
        <w:rPr>
          <w:rFonts w:ascii="仿宋_GB2312" w:eastAsia="仿宋_GB2312"/>
          <w:b/>
          <w:sz w:val="28"/>
          <w:szCs w:val="28"/>
        </w:rPr>
      </w:pPr>
      <w:r w:rsidRPr="00107C73">
        <w:rPr>
          <w:rFonts w:ascii="仿宋_GB2312" w:eastAsia="仿宋_GB2312" w:hint="eastAsia"/>
          <w:b/>
          <w:sz w:val="28"/>
          <w:szCs w:val="28"/>
        </w:rPr>
        <w:t>一、案件概况分析</w:t>
      </w:r>
    </w:p>
    <w:p w:rsidR="00C07889" w:rsidRPr="00C07889" w:rsidRDefault="00C07889" w:rsidP="00107C73">
      <w:pPr>
        <w:ind w:firstLineChars="200" w:firstLine="560"/>
        <w:rPr>
          <w:rFonts w:ascii="仿宋_GB2312" w:eastAsia="仿宋_GB2312"/>
          <w:sz w:val="28"/>
          <w:szCs w:val="28"/>
        </w:rPr>
      </w:pPr>
      <w:r w:rsidRPr="00C07889">
        <w:rPr>
          <w:rFonts w:ascii="仿宋_GB2312" w:eastAsia="仿宋_GB2312" w:hint="eastAsia"/>
          <w:sz w:val="28"/>
          <w:szCs w:val="28"/>
        </w:rPr>
        <w:t>2017年至2019年，长宁法院共受理</w:t>
      </w:r>
      <w:r w:rsidR="00427A0F">
        <w:rPr>
          <w:rFonts w:ascii="仿宋_GB2312" w:eastAsia="仿宋_GB2312" w:hint="eastAsia"/>
          <w:sz w:val="28"/>
          <w:szCs w:val="28"/>
        </w:rPr>
        <w:t>涉职业打假</w:t>
      </w:r>
      <w:r w:rsidRPr="00C07889">
        <w:rPr>
          <w:rFonts w:ascii="仿宋_GB2312" w:eastAsia="仿宋_GB2312" w:hint="eastAsia"/>
          <w:sz w:val="28"/>
          <w:szCs w:val="28"/>
        </w:rPr>
        <w:t>网络购物合同纠纷案件</w:t>
      </w:r>
      <w:r w:rsidR="008214AA">
        <w:rPr>
          <w:rFonts w:ascii="仿宋_GB2312" w:eastAsia="仿宋_GB2312" w:hint="eastAsia"/>
          <w:sz w:val="28"/>
          <w:szCs w:val="28"/>
        </w:rPr>
        <w:t>3</w:t>
      </w:r>
      <w:r w:rsidR="007C1BD1">
        <w:rPr>
          <w:rFonts w:ascii="仿宋_GB2312" w:eastAsia="仿宋_GB2312" w:hint="eastAsia"/>
          <w:sz w:val="28"/>
          <w:szCs w:val="28"/>
        </w:rPr>
        <w:t>7</w:t>
      </w:r>
      <w:r w:rsidR="00673C7D">
        <w:rPr>
          <w:rFonts w:ascii="仿宋_GB2312" w:eastAsia="仿宋_GB2312" w:hint="eastAsia"/>
          <w:sz w:val="28"/>
          <w:szCs w:val="28"/>
        </w:rPr>
        <w:t>4</w:t>
      </w:r>
      <w:r w:rsidRPr="00C07889">
        <w:rPr>
          <w:rFonts w:ascii="仿宋_GB2312" w:eastAsia="仿宋_GB2312" w:hint="eastAsia"/>
          <w:sz w:val="28"/>
          <w:szCs w:val="28"/>
        </w:rPr>
        <w:t>件，审结</w:t>
      </w:r>
      <w:r w:rsidR="007C1BD1">
        <w:rPr>
          <w:rFonts w:ascii="仿宋_GB2312" w:eastAsia="仿宋_GB2312" w:hint="eastAsia"/>
          <w:sz w:val="28"/>
          <w:szCs w:val="28"/>
        </w:rPr>
        <w:t>3</w:t>
      </w:r>
      <w:r w:rsidR="00427A0F">
        <w:rPr>
          <w:rFonts w:ascii="仿宋_GB2312" w:eastAsia="仿宋_GB2312" w:hint="eastAsia"/>
          <w:sz w:val="28"/>
          <w:szCs w:val="28"/>
        </w:rPr>
        <w:t>3</w:t>
      </w:r>
      <w:r w:rsidR="00D67485">
        <w:rPr>
          <w:rFonts w:ascii="仿宋_GB2312" w:eastAsia="仿宋_GB2312" w:hint="eastAsia"/>
          <w:sz w:val="28"/>
          <w:szCs w:val="28"/>
        </w:rPr>
        <w:t>0</w:t>
      </w:r>
      <w:r w:rsidRPr="00C07889">
        <w:rPr>
          <w:rFonts w:ascii="仿宋_GB2312" w:eastAsia="仿宋_GB2312" w:hint="eastAsia"/>
          <w:sz w:val="28"/>
          <w:szCs w:val="28"/>
        </w:rPr>
        <w:t>件，涉案总标的</w:t>
      </w:r>
      <w:r w:rsidR="001C2D41">
        <w:rPr>
          <w:rFonts w:ascii="仿宋_GB2312" w:eastAsia="仿宋_GB2312" w:hint="eastAsia"/>
          <w:sz w:val="28"/>
          <w:szCs w:val="28"/>
        </w:rPr>
        <w:t>1014.67</w:t>
      </w:r>
      <w:r w:rsidRPr="00C07889">
        <w:rPr>
          <w:rFonts w:ascii="仿宋_GB2312" w:eastAsia="仿宋_GB2312" w:hint="eastAsia"/>
          <w:sz w:val="28"/>
          <w:szCs w:val="28"/>
        </w:rPr>
        <w:t>万元，平均案</w:t>
      </w:r>
      <w:r w:rsidRPr="00C07889">
        <w:rPr>
          <w:rFonts w:ascii="仿宋_GB2312" w:eastAsia="仿宋_GB2312" w:hint="eastAsia"/>
          <w:sz w:val="28"/>
          <w:szCs w:val="28"/>
        </w:rPr>
        <w:lastRenderedPageBreak/>
        <w:t>件标的</w:t>
      </w:r>
      <w:r w:rsidR="001C2D41">
        <w:rPr>
          <w:rFonts w:ascii="仿宋_GB2312" w:eastAsia="仿宋_GB2312" w:hint="eastAsia"/>
          <w:sz w:val="28"/>
          <w:szCs w:val="28"/>
        </w:rPr>
        <w:t>10470.59</w:t>
      </w:r>
      <w:r w:rsidRPr="00C07889">
        <w:rPr>
          <w:rFonts w:ascii="仿宋_GB2312" w:eastAsia="仿宋_GB2312" w:hint="eastAsia"/>
          <w:sz w:val="28"/>
          <w:szCs w:val="28"/>
        </w:rPr>
        <w:t>元。</w:t>
      </w:r>
    </w:p>
    <w:p w:rsidR="00C07889" w:rsidRPr="00107C73" w:rsidRDefault="00C07889" w:rsidP="002F1EAF">
      <w:pPr>
        <w:ind w:firstLineChars="200" w:firstLine="560"/>
        <w:rPr>
          <w:rFonts w:ascii="仿宋_GB2312" w:eastAsia="仿宋_GB2312"/>
          <w:b/>
          <w:sz w:val="28"/>
          <w:szCs w:val="28"/>
        </w:rPr>
      </w:pPr>
      <w:r w:rsidRPr="00107C73">
        <w:rPr>
          <w:rFonts w:ascii="仿宋_GB2312" w:eastAsia="仿宋_GB2312" w:hint="eastAsia"/>
          <w:b/>
          <w:sz w:val="28"/>
          <w:szCs w:val="28"/>
        </w:rPr>
        <w:t>（一）年度分布</w:t>
      </w:r>
    </w:p>
    <w:p w:rsidR="00E01B8E" w:rsidRDefault="00427A0F" w:rsidP="00107C73">
      <w:pPr>
        <w:ind w:firstLineChars="200" w:firstLine="560"/>
        <w:rPr>
          <w:rFonts w:ascii="仿宋_GB2312" w:eastAsia="仿宋_GB2312"/>
          <w:sz w:val="28"/>
          <w:szCs w:val="28"/>
        </w:rPr>
      </w:pPr>
      <w:r>
        <w:rPr>
          <w:rFonts w:ascii="仿宋_GB2312" w:eastAsia="仿宋_GB2312" w:hint="eastAsia"/>
          <w:sz w:val="28"/>
          <w:szCs w:val="28"/>
        </w:rPr>
        <w:t>从年度分布来看</w:t>
      </w:r>
      <w:r w:rsidR="00C07889" w:rsidRPr="00C07889">
        <w:rPr>
          <w:rFonts w:ascii="仿宋_GB2312" w:eastAsia="仿宋_GB2312" w:hint="eastAsia"/>
          <w:sz w:val="28"/>
          <w:szCs w:val="28"/>
        </w:rPr>
        <w:t>，</w:t>
      </w:r>
      <w:r>
        <w:rPr>
          <w:rFonts w:ascii="仿宋_GB2312" w:eastAsia="仿宋_GB2312" w:hint="eastAsia"/>
          <w:kern w:val="0"/>
          <w:sz w:val="28"/>
          <w:szCs w:val="28"/>
        </w:rPr>
        <w:t>2017年收案14件，审结19件；2018年收案122件，审结</w:t>
      </w:r>
      <w:r w:rsidR="00043FBD">
        <w:rPr>
          <w:rFonts w:ascii="仿宋_GB2312" w:eastAsia="仿宋_GB2312" w:hint="eastAsia"/>
          <w:kern w:val="0"/>
          <w:sz w:val="28"/>
          <w:szCs w:val="28"/>
        </w:rPr>
        <w:t>9</w:t>
      </w:r>
      <w:r w:rsidR="00D67485">
        <w:rPr>
          <w:rFonts w:ascii="仿宋_GB2312" w:eastAsia="仿宋_GB2312" w:hint="eastAsia"/>
          <w:kern w:val="0"/>
          <w:sz w:val="28"/>
          <w:szCs w:val="28"/>
        </w:rPr>
        <w:t>2</w:t>
      </w:r>
      <w:r>
        <w:rPr>
          <w:rFonts w:ascii="仿宋_GB2312" w:eastAsia="仿宋_GB2312" w:hint="eastAsia"/>
          <w:kern w:val="0"/>
          <w:sz w:val="28"/>
          <w:szCs w:val="28"/>
        </w:rPr>
        <w:t>件；2019年收案238件，审结2</w:t>
      </w:r>
      <w:r w:rsidR="00D67485">
        <w:rPr>
          <w:rFonts w:ascii="仿宋_GB2312" w:eastAsia="仿宋_GB2312" w:hint="eastAsia"/>
          <w:kern w:val="0"/>
          <w:sz w:val="28"/>
          <w:szCs w:val="28"/>
        </w:rPr>
        <w:t>19</w:t>
      </w:r>
      <w:r>
        <w:rPr>
          <w:rFonts w:ascii="仿宋_GB2312" w:eastAsia="仿宋_GB2312" w:hint="eastAsia"/>
          <w:kern w:val="0"/>
          <w:sz w:val="28"/>
          <w:szCs w:val="28"/>
        </w:rPr>
        <w:t>件</w:t>
      </w:r>
      <w:r w:rsidR="0021577A">
        <w:rPr>
          <w:rFonts w:ascii="仿宋_GB2312" w:eastAsia="仿宋_GB2312" w:hint="eastAsia"/>
          <w:kern w:val="0"/>
          <w:sz w:val="28"/>
          <w:szCs w:val="28"/>
        </w:rPr>
        <w:t>，</w:t>
      </w:r>
      <w:r w:rsidR="00E868A4" w:rsidRPr="00B71DE7">
        <w:rPr>
          <w:rFonts w:ascii="仿宋_GB2312" w:eastAsia="仿宋_GB2312" w:hint="eastAsia"/>
          <w:kern w:val="0"/>
          <w:sz w:val="28"/>
          <w:szCs w:val="28"/>
        </w:rPr>
        <w:t>三年间</w:t>
      </w:r>
      <w:r w:rsidR="0021577A" w:rsidRPr="00B71DE7">
        <w:rPr>
          <w:rFonts w:ascii="仿宋_GB2312" w:eastAsia="仿宋_GB2312" w:hint="eastAsia"/>
          <w:kern w:val="0"/>
          <w:sz w:val="28"/>
          <w:szCs w:val="28"/>
        </w:rPr>
        <w:t>收案</w:t>
      </w:r>
      <w:r w:rsidR="0080418B" w:rsidRPr="00B71DE7">
        <w:rPr>
          <w:rFonts w:ascii="仿宋_GB2312" w:eastAsia="仿宋_GB2312" w:hint="eastAsia"/>
          <w:kern w:val="0"/>
          <w:sz w:val="28"/>
          <w:szCs w:val="28"/>
        </w:rPr>
        <w:t>增幅</w:t>
      </w:r>
      <w:r w:rsidR="00B71DE7" w:rsidRPr="00B71DE7">
        <w:rPr>
          <w:rFonts w:ascii="仿宋_GB2312" w:eastAsia="仿宋_GB2312" w:hint="eastAsia"/>
          <w:kern w:val="0"/>
          <w:sz w:val="28"/>
          <w:szCs w:val="28"/>
        </w:rPr>
        <w:t>17</w:t>
      </w:r>
      <w:r w:rsidR="007E7C70" w:rsidRPr="00B71DE7">
        <w:rPr>
          <w:rFonts w:ascii="仿宋_GB2312" w:eastAsia="仿宋_GB2312" w:hint="eastAsia"/>
          <w:kern w:val="0"/>
          <w:sz w:val="28"/>
          <w:szCs w:val="28"/>
        </w:rPr>
        <w:t>倍</w:t>
      </w:r>
      <w:r w:rsidR="00C07889" w:rsidRPr="00B71DE7">
        <w:rPr>
          <w:rFonts w:ascii="仿宋_GB2312" w:eastAsia="仿宋_GB2312" w:hint="eastAsia"/>
          <w:kern w:val="0"/>
          <w:sz w:val="28"/>
          <w:szCs w:val="28"/>
        </w:rPr>
        <w:t>。</w:t>
      </w:r>
      <w:r w:rsidR="008075C9" w:rsidRPr="00B71DE7">
        <w:rPr>
          <w:rFonts w:ascii="仿宋_GB2312" w:eastAsia="仿宋_GB2312" w:hint="eastAsia"/>
          <w:kern w:val="0"/>
          <w:sz w:val="28"/>
          <w:szCs w:val="28"/>
        </w:rPr>
        <w:t>（详见图</w:t>
      </w:r>
      <w:r w:rsidR="00142EB0">
        <w:rPr>
          <w:rFonts w:ascii="仿宋_GB2312" w:eastAsia="仿宋_GB2312" w:hint="eastAsia"/>
          <w:sz w:val="28"/>
          <w:szCs w:val="28"/>
        </w:rPr>
        <w:t>表</w:t>
      </w:r>
      <w:r w:rsidR="008075C9">
        <w:rPr>
          <w:rFonts w:ascii="仿宋_GB2312" w:eastAsia="仿宋_GB2312" w:hint="eastAsia"/>
          <w:sz w:val="28"/>
          <w:szCs w:val="28"/>
        </w:rPr>
        <w:t>1）</w:t>
      </w:r>
      <w:r w:rsidR="00E01B8E" w:rsidRPr="00982EBF">
        <w:rPr>
          <w:rFonts w:ascii="仿宋_GB2312" w:eastAsia="仿宋_GB2312" w:hint="eastAsia"/>
          <w:sz w:val="28"/>
          <w:szCs w:val="28"/>
        </w:rPr>
        <w:t>其原因</w:t>
      </w:r>
      <w:r w:rsidR="00AF4C92" w:rsidRPr="00982EBF">
        <w:rPr>
          <w:rFonts w:ascii="仿宋_GB2312" w:eastAsia="仿宋_GB2312" w:hint="eastAsia"/>
          <w:sz w:val="28"/>
          <w:szCs w:val="28"/>
        </w:rPr>
        <w:t>一方面</w:t>
      </w:r>
      <w:r w:rsidR="00E01B8E" w:rsidRPr="00982EBF">
        <w:rPr>
          <w:rFonts w:ascii="仿宋_GB2312" w:eastAsia="仿宋_GB2312" w:hint="eastAsia"/>
          <w:sz w:val="28"/>
          <w:szCs w:val="28"/>
        </w:rPr>
        <w:t>系</w:t>
      </w:r>
      <w:r w:rsidR="00AF4C92" w:rsidRPr="00982EBF">
        <w:rPr>
          <w:rFonts w:ascii="仿宋_GB2312" w:eastAsia="仿宋_GB2312" w:hint="eastAsia"/>
          <w:sz w:val="28"/>
          <w:szCs w:val="28"/>
        </w:rPr>
        <w:t>因为</w:t>
      </w:r>
      <w:r w:rsidR="00C07889" w:rsidRPr="00982EBF">
        <w:rPr>
          <w:rFonts w:ascii="仿宋_GB2312" w:eastAsia="仿宋_GB2312" w:hint="eastAsia"/>
          <w:sz w:val="28"/>
          <w:szCs w:val="28"/>
        </w:rPr>
        <w:t>网络购物</w:t>
      </w:r>
      <w:r w:rsidR="00E01B8E" w:rsidRPr="00982EBF">
        <w:rPr>
          <w:rFonts w:ascii="仿宋_GB2312" w:eastAsia="仿宋_GB2312" w:hint="eastAsia"/>
          <w:sz w:val="28"/>
          <w:szCs w:val="28"/>
        </w:rPr>
        <w:t>快速</w:t>
      </w:r>
      <w:r w:rsidR="00C07889" w:rsidRPr="00982EBF">
        <w:rPr>
          <w:rFonts w:ascii="仿宋_GB2312" w:eastAsia="仿宋_GB2312" w:hint="eastAsia"/>
          <w:sz w:val="28"/>
          <w:szCs w:val="28"/>
        </w:rPr>
        <w:t>发展</w:t>
      </w:r>
      <w:r w:rsidR="00E01B8E" w:rsidRPr="00982EBF">
        <w:rPr>
          <w:rFonts w:ascii="仿宋_GB2312" w:eastAsia="仿宋_GB2312" w:hint="eastAsia"/>
          <w:sz w:val="28"/>
          <w:szCs w:val="28"/>
        </w:rPr>
        <w:t>，</w:t>
      </w:r>
      <w:r w:rsidR="00AF4C92" w:rsidRPr="00982EBF">
        <w:rPr>
          <w:rFonts w:ascii="仿宋_GB2312" w:eastAsia="仿宋_GB2312" w:hint="eastAsia"/>
          <w:sz w:val="28"/>
          <w:szCs w:val="28"/>
        </w:rPr>
        <w:t>使得打假阵地</w:t>
      </w:r>
      <w:r w:rsidR="00E01B8E" w:rsidRPr="00982EBF">
        <w:rPr>
          <w:rFonts w:ascii="仿宋_GB2312" w:eastAsia="仿宋_GB2312" w:hint="eastAsia"/>
          <w:sz w:val="28"/>
          <w:szCs w:val="28"/>
        </w:rPr>
        <w:t>迅速</w:t>
      </w:r>
      <w:r w:rsidR="00AF4C92" w:rsidRPr="00982EBF">
        <w:rPr>
          <w:rFonts w:ascii="仿宋_GB2312" w:eastAsia="仿宋_GB2312" w:hint="eastAsia"/>
          <w:sz w:val="28"/>
          <w:szCs w:val="28"/>
        </w:rPr>
        <w:t>向线上转移</w:t>
      </w:r>
      <w:r w:rsidR="00E01B8E" w:rsidRPr="00982EBF">
        <w:rPr>
          <w:rFonts w:ascii="仿宋_GB2312" w:eastAsia="仿宋_GB2312" w:hint="eastAsia"/>
          <w:sz w:val="28"/>
          <w:szCs w:val="28"/>
        </w:rPr>
        <w:t>；</w:t>
      </w:r>
      <w:r w:rsidR="00AF4C92" w:rsidRPr="00982EBF">
        <w:rPr>
          <w:rFonts w:ascii="仿宋_GB2312" w:eastAsia="仿宋_GB2312" w:hint="eastAsia"/>
          <w:sz w:val="28"/>
          <w:szCs w:val="28"/>
        </w:rPr>
        <w:t>另一方面</w:t>
      </w:r>
      <w:r w:rsidR="00E01B8E" w:rsidRPr="00982EBF">
        <w:rPr>
          <w:rFonts w:ascii="仿宋_GB2312" w:eastAsia="仿宋_GB2312" w:hint="eastAsia"/>
          <w:sz w:val="28"/>
          <w:szCs w:val="28"/>
        </w:rPr>
        <w:t>，2018年</w:t>
      </w:r>
      <w:r w:rsidR="00B71DE7">
        <w:rPr>
          <w:rFonts w:ascii="仿宋_GB2312" w:eastAsia="仿宋_GB2312" w:hint="eastAsia"/>
          <w:sz w:val="28"/>
          <w:szCs w:val="28"/>
        </w:rPr>
        <w:t>年</w:t>
      </w:r>
      <w:r w:rsidR="00E01B8E" w:rsidRPr="00982EBF">
        <w:rPr>
          <w:rFonts w:ascii="仿宋_GB2312" w:eastAsia="仿宋_GB2312" w:hint="eastAsia"/>
          <w:sz w:val="28"/>
          <w:szCs w:val="28"/>
        </w:rPr>
        <w:t>初以来，我院成立互联网案件审判庭，实现涉互联网案件集中审理，同时也推动了</w:t>
      </w:r>
      <w:r w:rsidR="00AF4C92" w:rsidRPr="00982EBF">
        <w:rPr>
          <w:rFonts w:ascii="仿宋_GB2312" w:eastAsia="仿宋_GB2312" w:hint="eastAsia"/>
          <w:sz w:val="28"/>
          <w:szCs w:val="28"/>
        </w:rPr>
        <w:t>互联网诉讼平台的上线使用</w:t>
      </w:r>
      <w:r w:rsidR="00E01B8E" w:rsidRPr="00982EBF">
        <w:rPr>
          <w:rFonts w:ascii="仿宋_GB2312" w:eastAsia="仿宋_GB2312" w:hint="eastAsia"/>
          <w:sz w:val="28"/>
          <w:szCs w:val="28"/>
        </w:rPr>
        <w:t>等一系列举措，</w:t>
      </w:r>
      <w:r w:rsidR="00982EBF" w:rsidRPr="00982EBF">
        <w:rPr>
          <w:rFonts w:ascii="仿宋_GB2312" w:eastAsia="仿宋_GB2312" w:hint="eastAsia"/>
          <w:sz w:val="28"/>
          <w:szCs w:val="28"/>
        </w:rPr>
        <w:t>为诉讼</w:t>
      </w:r>
      <w:r w:rsidR="00AF4C92" w:rsidRPr="00982EBF">
        <w:rPr>
          <w:rFonts w:ascii="仿宋_GB2312" w:eastAsia="仿宋_GB2312" w:hint="eastAsia"/>
          <w:sz w:val="28"/>
          <w:szCs w:val="28"/>
        </w:rPr>
        <w:t>当事人</w:t>
      </w:r>
      <w:r w:rsidR="00E01B8E" w:rsidRPr="00982EBF">
        <w:rPr>
          <w:rFonts w:ascii="仿宋_GB2312" w:eastAsia="仿宋_GB2312" w:hint="eastAsia"/>
          <w:sz w:val="28"/>
          <w:szCs w:val="28"/>
        </w:rPr>
        <w:t>提</w:t>
      </w:r>
      <w:r w:rsidR="00982EBF" w:rsidRPr="00982EBF">
        <w:rPr>
          <w:rFonts w:ascii="仿宋_GB2312" w:eastAsia="仿宋_GB2312" w:hint="eastAsia"/>
          <w:sz w:val="28"/>
          <w:szCs w:val="28"/>
        </w:rPr>
        <w:t>供了良好</w:t>
      </w:r>
      <w:r w:rsidR="00E01B8E" w:rsidRPr="00982EBF">
        <w:rPr>
          <w:rFonts w:ascii="仿宋_GB2312" w:eastAsia="仿宋_GB2312" w:hint="eastAsia"/>
          <w:sz w:val="28"/>
          <w:szCs w:val="28"/>
        </w:rPr>
        <w:t>便利</w:t>
      </w:r>
      <w:r w:rsidR="00982EBF" w:rsidRPr="00982EBF">
        <w:rPr>
          <w:rFonts w:ascii="仿宋_GB2312" w:eastAsia="仿宋_GB2312" w:hint="eastAsia"/>
          <w:sz w:val="28"/>
          <w:szCs w:val="28"/>
        </w:rPr>
        <w:t>条件</w:t>
      </w:r>
      <w:r w:rsidR="00E01B8E" w:rsidRPr="00982EBF">
        <w:rPr>
          <w:rFonts w:ascii="仿宋_GB2312" w:eastAsia="仿宋_GB2312" w:hint="eastAsia"/>
          <w:sz w:val="28"/>
          <w:szCs w:val="28"/>
        </w:rPr>
        <w:t>。</w:t>
      </w:r>
    </w:p>
    <w:p w:rsidR="00982EBF" w:rsidRPr="00982EBF" w:rsidRDefault="00B71DE7" w:rsidP="00B71DE7">
      <w:pPr>
        <w:ind w:firstLineChars="200" w:firstLine="560"/>
        <w:jc w:val="center"/>
        <w:rPr>
          <w:rFonts w:ascii="仿宋_GB2312" w:eastAsia="仿宋_GB2312"/>
          <w:sz w:val="28"/>
          <w:szCs w:val="28"/>
        </w:rPr>
      </w:pPr>
      <w:r w:rsidRPr="00B71DE7">
        <w:rPr>
          <w:rFonts w:ascii="仿宋_GB2312" w:eastAsia="仿宋_GB2312"/>
          <w:noProof/>
          <w:sz w:val="28"/>
          <w:szCs w:val="28"/>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7889" w:rsidRPr="00C07889" w:rsidRDefault="00C07889" w:rsidP="008075C9">
      <w:pPr>
        <w:jc w:val="center"/>
        <w:rPr>
          <w:rFonts w:ascii="仿宋_GB2312" w:eastAsia="仿宋_GB2312"/>
          <w:sz w:val="28"/>
          <w:szCs w:val="28"/>
        </w:rPr>
      </w:pPr>
      <w:r w:rsidRPr="00C07889">
        <w:rPr>
          <w:rFonts w:ascii="仿宋_GB2312" w:eastAsia="仿宋_GB2312" w:hint="eastAsia"/>
          <w:sz w:val="28"/>
          <w:szCs w:val="28"/>
        </w:rPr>
        <w:t>图表1</w:t>
      </w:r>
    </w:p>
    <w:p w:rsidR="00C07889" w:rsidRPr="00107C73" w:rsidRDefault="008F3917" w:rsidP="002F1EAF">
      <w:pPr>
        <w:ind w:firstLineChars="200" w:firstLine="560"/>
        <w:rPr>
          <w:rFonts w:ascii="仿宋_GB2312" w:eastAsia="仿宋_GB2312"/>
          <w:b/>
          <w:sz w:val="28"/>
          <w:szCs w:val="28"/>
        </w:rPr>
      </w:pPr>
      <w:r>
        <w:rPr>
          <w:rFonts w:ascii="仿宋_GB2312" w:eastAsia="仿宋_GB2312" w:hint="eastAsia"/>
          <w:b/>
          <w:sz w:val="28"/>
          <w:szCs w:val="28"/>
        </w:rPr>
        <w:t>（二）涉及</w:t>
      </w:r>
      <w:r w:rsidR="00C07889" w:rsidRPr="00107C73">
        <w:rPr>
          <w:rFonts w:ascii="仿宋_GB2312" w:eastAsia="仿宋_GB2312" w:hint="eastAsia"/>
          <w:b/>
          <w:sz w:val="28"/>
          <w:szCs w:val="28"/>
        </w:rPr>
        <w:t>平台</w:t>
      </w:r>
    </w:p>
    <w:p w:rsidR="008F3917" w:rsidRDefault="00C07889" w:rsidP="00142EB0">
      <w:pPr>
        <w:ind w:firstLineChars="200" w:firstLine="560"/>
        <w:rPr>
          <w:rFonts w:ascii="仿宋_GB2312" w:eastAsia="仿宋_GB2312"/>
          <w:sz w:val="28"/>
          <w:szCs w:val="28"/>
        </w:rPr>
      </w:pPr>
      <w:r w:rsidRPr="00C07889">
        <w:rPr>
          <w:rFonts w:ascii="仿宋_GB2312" w:eastAsia="仿宋_GB2312" w:hint="eastAsia"/>
          <w:sz w:val="28"/>
          <w:szCs w:val="28"/>
        </w:rPr>
        <w:t>从</w:t>
      </w:r>
      <w:r w:rsidR="0080418B">
        <w:rPr>
          <w:rFonts w:ascii="仿宋_GB2312" w:eastAsia="仿宋_GB2312" w:hint="eastAsia"/>
          <w:sz w:val="28"/>
          <w:szCs w:val="28"/>
        </w:rPr>
        <w:t>打假商品</w:t>
      </w:r>
      <w:r w:rsidR="008075C9">
        <w:rPr>
          <w:rFonts w:ascii="仿宋_GB2312" w:eastAsia="仿宋_GB2312" w:hint="eastAsia"/>
          <w:sz w:val="28"/>
          <w:szCs w:val="28"/>
        </w:rPr>
        <w:t>涉及的</w:t>
      </w:r>
      <w:r w:rsidRPr="00C07889">
        <w:rPr>
          <w:rFonts w:ascii="仿宋_GB2312" w:eastAsia="仿宋_GB2312" w:hint="eastAsia"/>
          <w:sz w:val="28"/>
          <w:szCs w:val="28"/>
        </w:rPr>
        <w:t>平台分布来看，</w:t>
      </w:r>
      <w:r w:rsidR="008075C9">
        <w:rPr>
          <w:rFonts w:ascii="仿宋_GB2312" w:eastAsia="仿宋_GB2312" w:hint="eastAsia"/>
          <w:sz w:val="28"/>
          <w:szCs w:val="28"/>
        </w:rPr>
        <w:t>涉及</w:t>
      </w:r>
      <w:r w:rsidRPr="00C07889">
        <w:rPr>
          <w:rFonts w:ascii="仿宋_GB2312" w:eastAsia="仿宋_GB2312" w:hint="eastAsia"/>
          <w:sz w:val="28"/>
          <w:szCs w:val="28"/>
        </w:rPr>
        <w:t>拼多多、淘宝网、</w:t>
      </w:r>
      <w:r w:rsidR="008075C9">
        <w:rPr>
          <w:rFonts w:ascii="仿宋_GB2312" w:eastAsia="仿宋_GB2312" w:hint="eastAsia"/>
          <w:sz w:val="28"/>
          <w:szCs w:val="28"/>
        </w:rPr>
        <w:t>京东、</w:t>
      </w:r>
      <w:r w:rsidR="00142EB0">
        <w:rPr>
          <w:rFonts w:ascii="仿宋_GB2312" w:eastAsia="仿宋_GB2312" w:hint="eastAsia"/>
          <w:sz w:val="28"/>
          <w:szCs w:val="28"/>
        </w:rPr>
        <w:t>1号店、</w:t>
      </w:r>
      <w:r w:rsidR="008075C9">
        <w:rPr>
          <w:rFonts w:ascii="仿宋_GB2312" w:eastAsia="仿宋_GB2312" w:hint="eastAsia"/>
          <w:sz w:val="28"/>
          <w:szCs w:val="28"/>
        </w:rPr>
        <w:t>苏宁易购、大润发网上商城、亚马逊</w:t>
      </w:r>
      <w:r w:rsidRPr="00C07889">
        <w:rPr>
          <w:rFonts w:ascii="仿宋_GB2312" w:eastAsia="仿宋_GB2312" w:hint="eastAsia"/>
          <w:sz w:val="28"/>
          <w:szCs w:val="28"/>
        </w:rPr>
        <w:t>等平台</w:t>
      </w:r>
      <w:r w:rsidR="00142EB0">
        <w:rPr>
          <w:rFonts w:ascii="仿宋_GB2312" w:eastAsia="仿宋_GB2312" w:hint="eastAsia"/>
          <w:sz w:val="28"/>
          <w:szCs w:val="28"/>
        </w:rPr>
        <w:t>（详见</w:t>
      </w:r>
      <w:r w:rsidR="00142EB0" w:rsidRPr="00C07889">
        <w:rPr>
          <w:rFonts w:ascii="仿宋_GB2312" w:eastAsia="仿宋_GB2312" w:hint="eastAsia"/>
          <w:sz w:val="28"/>
          <w:szCs w:val="28"/>
        </w:rPr>
        <w:t>图表2</w:t>
      </w:r>
      <w:r w:rsidR="00142EB0">
        <w:rPr>
          <w:rFonts w:ascii="仿宋_GB2312" w:eastAsia="仿宋_GB2312" w:hint="eastAsia"/>
          <w:sz w:val="28"/>
          <w:szCs w:val="28"/>
        </w:rPr>
        <w:t>）</w:t>
      </w:r>
      <w:r w:rsidRPr="00C07889">
        <w:rPr>
          <w:rFonts w:ascii="仿宋_GB2312" w:eastAsia="仿宋_GB2312" w:hint="eastAsia"/>
          <w:sz w:val="28"/>
          <w:szCs w:val="28"/>
        </w:rPr>
        <w:t>。</w:t>
      </w:r>
      <w:r w:rsidRPr="008075C9">
        <w:rPr>
          <w:rFonts w:ascii="仿宋_GB2312" w:eastAsia="仿宋_GB2312" w:hint="eastAsia"/>
          <w:sz w:val="28"/>
          <w:szCs w:val="28"/>
        </w:rPr>
        <w:t>其中，</w:t>
      </w:r>
      <w:r w:rsidR="008075C9">
        <w:rPr>
          <w:rFonts w:ascii="仿宋_GB2312" w:eastAsia="仿宋_GB2312" w:hint="eastAsia"/>
          <w:sz w:val="28"/>
          <w:szCs w:val="28"/>
        </w:rPr>
        <w:t>涉及</w:t>
      </w:r>
      <w:r w:rsidRPr="008075C9">
        <w:rPr>
          <w:rFonts w:ascii="仿宋_GB2312" w:eastAsia="仿宋_GB2312" w:hint="eastAsia"/>
          <w:sz w:val="28"/>
          <w:szCs w:val="28"/>
        </w:rPr>
        <w:t>拼多多</w:t>
      </w:r>
      <w:r w:rsidR="008075C9">
        <w:rPr>
          <w:rFonts w:ascii="仿宋_GB2312" w:eastAsia="仿宋_GB2312" w:hint="eastAsia"/>
          <w:sz w:val="28"/>
          <w:szCs w:val="28"/>
        </w:rPr>
        <w:t>平台的案件数</w:t>
      </w:r>
      <w:r w:rsidRPr="008075C9">
        <w:rPr>
          <w:rFonts w:ascii="仿宋_GB2312" w:eastAsia="仿宋_GB2312" w:hint="eastAsia"/>
          <w:sz w:val="28"/>
          <w:szCs w:val="28"/>
        </w:rPr>
        <w:t>最高，达</w:t>
      </w:r>
      <w:r w:rsidR="0014225B" w:rsidRPr="008075C9">
        <w:rPr>
          <w:rFonts w:ascii="仿宋_GB2312" w:eastAsia="仿宋_GB2312" w:hint="eastAsia"/>
          <w:sz w:val="28"/>
          <w:szCs w:val="28"/>
        </w:rPr>
        <w:t>23</w:t>
      </w:r>
      <w:r w:rsidR="0080418B" w:rsidRPr="008075C9">
        <w:rPr>
          <w:rFonts w:ascii="仿宋_GB2312" w:eastAsia="仿宋_GB2312" w:hint="eastAsia"/>
          <w:sz w:val="28"/>
          <w:szCs w:val="28"/>
        </w:rPr>
        <w:t>9</w:t>
      </w:r>
      <w:r w:rsidRPr="008075C9">
        <w:rPr>
          <w:rFonts w:ascii="仿宋_GB2312" w:eastAsia="仿宋_GB2312" w:hint="eastAsia"/>
          <w:sz w:val="28"/>
          <w:szCs w:val="28"/>
        </w:rPr>
        <w:t>件，占</w:t>
      </w:r>
      <w:r w:rsidR="00A242D7" w:rsidRPr="008075C9">
        <w:rPr>
          <w:rFonts w:ascii="仿宋_GB2312" w:eastAsia="仿宋_GB2312" w:hint="eastAsia"/>
          <w:sz w:val="28"/>
          <w:szCs w:val="28"/>
        </w:rPr>
        <w:t>近三年结案数</w:t>
      </w:r>
      <w:r w:rsidRPr="008075C9">
        <w:rPr>
          <w:rFonts w:ascii="仿宋_GB2312" w:eastAsia="仿宋_GB2312" w:hint="eastAsia"/>
          <w:sz w:val="28"/>
          <w:szCs w:val="28"/>
        </w:rPr>
        <w:t>的</w:t>
      </w:r>
      <w:r w:rsidR="008075C9">
        <w:rPr>
          <w:rFonts w:ascii="仿宋_GB2312" w:eastAsia="仿宋_GB2312" w:hint="eastAsia"/>
          <w:sz w:val="28"/>
          <w:szCs w:val="28"/>
        </w:rPr>
        <w:t>7</w:t>
      </w:r>
      <w:r w:rsidR="00D67485">
        <w:rPr>
          <w:rFonts w:ascii="仿宋_GB2312" w:eastAsia="仿宋_GB2312" w:hint="eastAsia"/>
          <w:sz w:val="28"/>
          <w:szCs w:val="28"/>
        </w:rPr>
        <w:t>2</w:t>
      </w:r>
      <w:r w:rsidR="008075C9">
        <w:rPr>
          <w:rFonts w:ascii="仿宋_GB2312" w:eastAsia="仿宋_GB2312" w:hint="eastAsia"/>
          <w:sz w:val="28"/>
          <w:szCs w:val="28"/>
        </w:rPr>
        <w:t>.</w:t>
      </w:r>
      <w:r w:rsidR="00D67485">
        <w:rPr>
          <w:rFonts w:ascii="仿宋_GB2312" w:eastAsia="仿宋_GB2312" w:hint="eastAsia"/>
          <w:sz w:val="28"/>
          <w:szCs w:val="28"/>
        </w:rPr>
        <w:t>4</w:t>
      </w:r>
      <w:r w:rsidRPr="008075C9">
        <w:rPr>
          <w:rFonts w:ascii="仿宋_GB2312" w:eastAsia="仿宋_GB2312" w:hint="eastAsia"/>
          <w:sz w:val="28"/>
          <w:szCs w:val="28"/>
        </w:rPr>
        <w:t>%</w:t>
      </w:r>
      <w:r w:rsidR="006228B3">
        <w:rPr>
          <w:rFonts w:ascii="仿宋_GB2312" w:eastAsia="仿宋_GB2312" w:hint="eastAsia"/>
          <w:sz w:val="28"/>
          <w:szCs w:val="28"/>
        </w:rPr>
        <w:t>，案件占比偏高主要原因在于</w:t>
      </w:r>
      <w:r w:rsidR="001F49B7">
        <w:rPr>
          <w:rFonts w:ascii="仿宋_GB2312" w:eastAsia="仿宋_GB2312" w:hint="eastAsia"/>
          <w:sz w:val="28"/>
          <w:szCs w:val="28"/>
        </w:rPr>
        <w:t>该平台运营主体</w:t>
      </w:r>
      <w:r w:rsidR="006228B3">
        <w:rPr>
          <w:rFonts w:ascii="仿宋_GB2312" w:eastAsia="仿宋_GB2312" w:hint="eastAsia"/>
          <w:sz w:val="28"/>
          <w:szCs w:val="28"/>
        </w:rPr>
        <w:t>住所地在本区，</w:t>
      </w:r>
      <w:r w:rsidR="00D67485">
        <w:rPr>
          <w:rFonts w:ascii="仿宋_GB2312" w:eastAsia="仿宋_GB2312" w:hint="eastAsia"/>
          <w:sz w:val="28"/>
          <w:szCs w:val="28"/>
        </w:rPr>
        <w:lastRenderedPageBreak/>
        <w:t>属于本院地域管辖范围</w:t>
      </w:r>
      <w:r w:rsidRPr="008075C9">
        <w:rPr>
          <w:rFonts w:ascii="仿宋_GB2312" w:eastAsia="仿宋_GB2312" w:hint="eastAsia"/>
          <w:sz w:val="28"/>
          <w:szCs w:val="28"/>
        </w:rPr>
        <w:t>；</w:t>
      </w:r>
      <w:r w:rsidR="006228B3" w:rsidRPr="00C07889">
        <w:rPr>
          <w:rFonts w:ascii="仿宋_GB2312" w:eastAsia="仿宋_GB2312" w:hint="eastAsia"/>
          <w:sz w:val="28"/>
          <w:szCs w:val="28"/>
        </w:rPr>
        <w:t>其次</w:t>
      </w:r>
      <w:r w:rsidR="006228B3">
        <w:rPr>
          <w:rFonts w:ascii="仿宋_GB2312" w:eastAsia="仿宋_GB2312" w:hint="eastAsia"/>
          <w:sz w:val="28"/>
          <w:szCs w:val="28"/>
        </w:rPr>
        <w:t>为</w:t>
      </w:r>
      <w:r w:rsidRPr="00C07889">
        <w:rPr>
          <w:rFonts w:ascii="仿宋_GB2312" w:eastAsia="仿宋_GB2312" w:hint="eastAsia"/>
          <w:sz w:val="28"/>
          <w:szCs w:val="28"/>
        </w:rPr>
        <w:t>淘宝网，</w:t>
      </w:r>
      <w:r w:rsidR="006228B3">
        <w:rPr>
          <w:rFonts w:ascii="仿宋_GB2312" w:eastAsia="仿宋_GB2312" w:hint="eastAsia"/>
          <w:sz w:val="28"/>
          <w:szCs w:val="28"/>
        </w:rPr>
        <w:t>共</w:t>
      </w:r>
      <w:r w:rsidR="0014225B">
        <w:rPr>
          <w:rFonts w:ascii="仿宋_GB2312" w:eastAsia="仿宋_GB2312" w:hint="eastAsia"/>
          <w:sz w:val="28"/>
          <w:szCs w:val="28"/>
        </w:rPr>
        <w:t>6</w:t>
      </w:r>
      <w:r w:rsidR="006228B3">
        <w:rPr>
          <w:rFonts w:ascii="仿宋_GB2312" w:eastAsia="仿宋_GB2312" w:hint="eastAsia"/>
          <w:sz w:val="28"/>
          <w:szCs w:val="28"/>
        </w:rPr>
        <w:t>8</w:t>
      </w:r>
      <w:r w:rsidRPr="00C07889">
        <w:rPr>
          <w:rFonts w:ascii="仿宋_GB2312" w:eastAsia="仿宋_GB2312" w:hint="eastAsia"/>
          <w:sz w:val="28"/>
          <w:szCs w:val="28"/>
        </w:rPr>
        <w:t>件，占</w:t>
      </w:r>
      <w:r w:rsidR="006228B3">
        <w:rPr>
          <w:rFonts w:ascii="仿宋_GB2312" w:eastAsia="仿宋_GB2312" w:hint="eastAsia"/>
          <w:sz w:val="28"/>
          <w:szCs w:val="28"/>
        </w:rPr>
        <w:t>20.</w:t>
      </w:r>
      <w:r w:rsidR="00D67485">
        <w:rPr>
          <w:rFonts w:ascii="仿宋_GB2312" w:eastAsia="仿宋_GB2312" w:hint="eastAsia"/>
          <w:sz w:val="28"/>
          <w:szCs w:val="28"/>
        </w:rPr>
        <w:t>6</w:t>
      </w:r>
      <w:r w:rsidRPr="00C07889">
        <w:rPr>
          <w:rFonts w:ascii="仿宋_GB2312" w:eastAsia="仿宋_GB2312" w:hint="eastAsia"/>
          <w:sz w:val="28"/>
          <w:szCs w:val="28"/>
        </w:rPr>
        <w:t>%</w:t>
      </w:r>
      <w:r w:rsidR="001F49B7">
        <w:rPr>
          <w:rFonts w:ascii="仿宋_GB2312" w:eastAsia="仿宋_GB2312" w:hint="eastAsia"/>
          <w:sz w:val="28"/>
          <w:szCs w:val="28"/>
        </w:rPr>
        <w:t>，</w:t>
      </w:r>
      <w:r w:rsidR="001F49B7" w:rsidRPr="001F49B7">
        <w:rPr>
          <w:rFonts w:ascii="仿宋_GB2312" w:eastAsia="仿宋_GB2312" w:hint="eastAsia"/>
          <w:sz w:val="28"/>
          <w:szCs w:val="28"/>
        </w:rPr>
        <w:t>其余平台占比较小。</w:t>
      </w:r>
    </w:p>
    <w:p w:rsidR="00142EB0" w:rsidRDefault="00D67485" w:rsidP="00D67485">
      <w:pPr>
        <w:ind w:firstLineChars="200" w:firstLine="560"/>
        <w:rPr>
          <w:rFonts w:ascii="仿宋_GB2312" w:eastAsia="仿宋_GB2312"/>
          <w:sz w:val="28"/>
          <w:szCs w:val="28"/>
        </w:rPr>
      </w:pPr>
      <w:r w:rsidRPr="00D67485">
        <w:rPr>
          <w:rFonts w:ascii="仿宋_GB2312" w:eastAsia="仿宋_GB2312"/>
          <w:noProof/>
          <w:sz w:val="28"/>
          <w:szCs w:val="28"/>
        </w:rPr>
        <w:drawing>
          <wp:inline distT="0" distB="0" distL="0" distR="0">
            <wp:extent cx="4812378" cy="4632385"/>
            <wp:effectExtent l="19050" t="0" r="26322"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2EB0" w:rsidRDefault="00142EB0" w:rsidP="00D67485">
      <w:pPr>
        <w:ind w:firstLineChars="200" w:firstLine="560"/>
        <w:jc w:val="center"/>
        <w:rPr>
          <w:rFonts w:ascii="仿宋_GB2312" w:eastAsia="仿宋_GB2312"/>
          <w:sz w:val="28"/>
          <w:szCs w:val="28"/>
        </w:rPr>
      </w:pPr>
      <w:r w:rsidRPr="00D67485">
        <w:rPr>
          <w:rFonts w:ascii="仿宋_GB2312" w:eastAsia="仿宋_GB2312" w:hint="eastAsia"/>
          <w:sz w:val="28"/>
          <w:szCs w:val="28"/>
        </w:rPr>
        <w:t>图表2</w:t>
      </w:r>
    </w:p>
    <w:p w:rsidR="00C07889" w:rsidRPr="00107C73" w:rsidRDefault="008F3917" w:rsidP="002F1EAF">
      <w:pPr>
        <w:ind w:firstLineChars="200" w:firstLine="560"/>
        <w:rPr>
          <w:rFonts w:ascii="仿宋_GB2312" w:eastAsia="仿宋_GB2312"/>
          <w:b/>
          <w:sz w:val="28"/>
          <w:szCs w:val="28"/>
        </w:rPr>
      </w:pPr>
      <w:r>
        <w:rPr>
          <w:rFonts w:ascii="仿宋_GB2312" w:eastAsia="仿宋_GB2312" w:hint="eastAsia"/>
          <w:b/>
          <w:sz w:val="28"/>
          <w:szCs w:val="28"/>
        </w:rPr>
        <w:t>（三）</w:t>
      </w:r>
      <w:r w:rsidR="00C07889" w:rsidRPr="00107C73">
        <w:rPr>
          <w:rFonts w:ascii="仿宋_GB2312" w:eastAsia="仿宋_GB2312" w:hint="eastAsia"/>
          <w:b/>
          <w:sz w:val="28"/>
          <w:szCs w:val="28"/>
        </w:rPr>
        <w:t>商品类别</w:t>
      </w:r>
    </w:p>
    <w:p w:rsidR="006D44EE" w:rsidRDefault="006D44EE" w:rsidP="006D44EE">
      <w:pPr>
        <w:ind w:firstLineChars="200" w:firstLine="560"/>
        <w:rPr>
          <w:rFonts w:ascii="仿宋_GB2312" w:eastAsia="仿宋_GB2312"/>
          <w:sz w:val="28"/>
          <w:szCs w:val="28"/>
        </w:rPr>
      </w:pPr>
      <w:r w:rsidRPr="00C07889">
        <w:rPr>
          <w:rFonts w:ascii="仿宋_GB2312" w:eastAsia="仿宋_GB2312" w:hint="eastAsia"/>
          <w:sz w:val="28"/>
          <w:szCs w:val="28"/>
        </w:rPr>
        <w:t>从涉案商品类别</w:t>
      </w:r>
      <w:r w:rsidR="00D70E5D">
        <w:rPr>
          <w:rFonts w:ascii="仿宋_GB2312" w:eastAsia="仿宋_GB2312" w:hint="eastAsia"/>
          <w:sz w:val="28"/>
          <w:szCs w:val="28"/>
        </w:rPr>
        <w:t>分布</w:t>
      </w:r>
      <w:r w:rsidRPr="00C07889">
        <w:rPr>
          <w:rFonts w:ascii="仿宋_GB2312" w:eastAsia="仿宋_GB2312" w:hint="eastAsia"/>
          <w:sz w:val="28"/>
          <w:szCs w:val="28"/>
        </w:rPr>
        <w:t>来看，主要有食品、保健品、</w:t>
      </w:r>
      <w:r w:rsidR="007D3218" w:rsidRPr="00C07889">
        <w:rPr>
          <w:rFonts w:ascii="仿宋_GB2312" w:eastAsia="仿宋_GB2312" w:hint="eastAsia"/>
          <w:sz w:val="28"/>
          <w:szCs w:val="28"/>
        </w:rPr>
        <w:t>数码产品、</w:t>
      </w:r>
      <w:r w:rsidR="007D3218">
        <w:rPr>
          <w:rFonts w:ascii="仿宋_GB2312" w:eastAsia="仿宋_GB2312" w:hint="eastAsia"/>
          <w:sz w:val="28"/>
          <w:szCs w:val="28"/>
        </w:rPr>
        <w:t>家电、</w:t>
      </w:r>
      <w:r w:rsidRPr="00C07889">
        <w:rPr>
          <w:rFonts w:ascii="仿宋_GB2312" w:eastAsia="仿宋_GB2312" w:hint="eastAsia"/>
          <w:sz w:val="28"/>
          <w:szCs w:val="28"/>
        </w:rPr>
        <w:t>化妆品、纺织品、书籍等。</w:t>
      </w:r>
      <w:r w:rsidR="007D3218">
        <w:rPr>
          <w:rFonts w:ascii="仿宋_GB2312" w:eastAsia="仿宋_GB2312" w:hint="eastAsia"/>
          <w:sz w:val="28"/>
          <w:szCs w:val="28"/>
        </w:rPr>
        <w:t>（详见图表3）</w:t>
      </w:r>
    </w:p>
    <w:p w:rsidR="00B34C8D" w:rsidRDefault="007D3218" w:rsidP="007D3218">
      <w:pPr>
        <w:ind w:firstLineChars="200" w:firstLine="560"/>
        <w:rPr>
          <w:rFonts w:ascii="仿宋_GB2312" w:eastAsia="仿宋_GB2312"/>
          <w:sz w:val="28"/>
          <w:szCs w:val="28"/>
        </w:rPr>
      </w:pPr>
      <w:r w:rsidRPr="007D3218">
        <w:rPr>
          <w:rFonts w:ascii="仿宋_GB2312" w:eastAsia="仿宋_GB2312"/>
          <w:noProof/>
          <w:sz w:val="28"/>
          <w:szCs w:val="28"/>
        </w:rPr>
        <w:lastRenderedPageBreak/>
        <w:drawing>
          <wp:inline distT="0" distB="0" distL="0" distR="0">
            <wp:extent cx="5457454" cy="4034622"/>
            <wp:effectExtent l="19050" t="0" r="9896" b="3978"/>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3218" w:rsidRPr="007D3218" w:rsidRDefault="007D3218" w:rsidP="007D3218">
      <w:pPr>
        <w:ind w:firstLineChars="200" w:firstLine="560"/>
        <w:jc w:val="center"/>
        <w:rPr>
          <w:rFonts w:ascii="仿宋_GB2312" w:eastAsia="仿宋_GB2312"/>
          <w:sz w:val="28"/>
          <w:szCs w:val="28"/>
        </w:rPr>
      </w:pPr>
      <w:r>
        <w:rPr>
          <w:rFonts w:ascii="仿宋_GB2312" w:eastAsia="仿宋_GB2312" w:hint="eastAsia"/>
          <w:sz w:val="28"/>
          <w:szCs w:val="28"/>
        </w:rPr>
        <w:t>图表3</w:t>
      </w:r>
    </w:p>
    <w:p w:rsidR="00852428" w:rsidRPr="00852428" w:rsidRDefault="006D44EE" w:rsidP="00AF4C92">
      <w:pPr>
        <w:ind w:firstLineChars="200" w:firstLine="560"/>
        <w:rPr>
          <w:rFonts w:ascii="仿宋_GB2312" w:eastAsia="仿宋_GB2312"/>
          <w:sz w:val="28"/>
          <w:szCs w:val="28"/>
        </w:rPr>
      </w:pPr>
      <w:r w:rsidRPr="00C07889">
        <w:rPr>
          <w:rFonts w:ascii="仿宋_GB2312" w:eastAsia="仿宋_GB2312" w:hint="eastAsia"/>
          <w:sz w:val="28"/>
          <w:szCs w:val="28"/>
        </w:rPr>
        <w:t>在涉案商品的类型上：</w:t>
      </w:r>
      <w:r w:rsidRPr="006D44EE">
        <w:rPr>
          <w:rFonts w:ascii="仿宋_GB2312" w:eastAsia="仿宋_GB2312" w:hint="eastAsia"/>
          <w:b/>
          <w:sz w:val="28"/>
          <w:szCs w:val="28"/>
        </w:rPr>
        <w:t>一是食品药品比重</w:t>
      </w:r>
      <w:r w:rsidR="00A36C03">
        <w:rPr>
          <w:rFonts w:ascii="仿宋_GB2312" w:eastAsia="仿宋_GB2312" w:hint="eastAsia"/>
          <w:b/>
          <w:sz w:val="28"/>
          <w:szCs w:val="28"/>
        </w:rPr>
        <w:t>明显偏</w:t>
      </w:r>
      <w:r w:rsidRPr="006D44EE">
        <w:rPr>
          <w:rFonts w:ascii="仿宋_GB2312" w:eastAsia="仿宋_GB2312" w:hint="eastAsia"/>
          <w:b/>
          <w:sz w:val="28"/>
          <w:szCs w:val="28"/>
        </w:rPr>
        <w:t>高</w:t>
      </w:r>
      <w:r w:rsidRPr="00C07889">
        <w:rPr>
          <w:rFonts w:ascii="仿宋_GB2312" w:eastAsia="仿宋_GB2312" w:hint="eastAsia"/>
          <w:sz w:val="28"/>
          <w:szCs w:val="28"/>
        </w:rPr>
        <w:t>。</w:t>
      </w:r>
      <w:r w:rsidR="00B34C8D">
        <w:rPr>
          <w:rFonts w:ascii="仿宋_GB2312" w:eastAsia="仿宋_GB2312" w:hint="eastAsia"/>
          <w:sz w:val="28"/>
          <w:szCs w:val="28"/>
        </w:rPr>
        <w:t>2017年-2019年，</w:t>
      </w:r>
      <w:r w:rsidR="008F3917">
        <w:rPr>
          <w:rFonts w:ascii="仿宋_GB2312" w:eastAsia="仿宋_GB2312" w:hint="eastAsia"/>
          <w:sz w:val="28"/>
          <w:szCs w:val="28"/>
        </w:rPr>
        <w:t>涉</w:t>
      </w:r>
      <w:r w:rsidRPr="00C07889">
        <w:rPr>
          <w:rFonts w:ascii="仿宋_GB2312" w:eastAsia="仿宋_GB2312" w:hint="eastAsia"/>
          <w:sz w:val="28"/>
          <w:szCs w:val="28"/>
        </w:rPr>
        <w:t>食</w:t>
      </w:r>
      <w:r w:rsidR="00A36C03">
        <w:rPr>
          <w:rFonts w:ascii="仿宋_GB2312" w:eastAsia="仿宋_GB2312" w:hint="eastAsia"/>
          <w:sz w:val="28"/>
          <w:szCs w:val="28"/>
        </w:rPr>
        <w:t>药</w:t>
      </w:r>
      <w:r w:rsidRPr="00C07889">
        <w:rPr>
          <w:rFonts w:ascii="仿宋_GB2312" w:eastAsia="仿宋_GB2312" w:hint="eastAsia"/>
          <w:sz w:val="28"/>
          <w:szCs w:val="28"/>
        </w:rPr>
        <w:t>类案件</w:t>
      </w:r>
      <w:r w:rsidR="00A36C03">
        <w:rPr>
          <w:rFonts w:ascii="仿宋_GB2312" w:eastAsia="仿宋_GB2312" w:hint="eastAsia"/>
          <w:sz w:val="28"/>
          <w:szCs w:val="28"/>
        </w:rPr>
        <w:t>数</w:t>
      </w:r>
      <w:r w:rsidRPr="00C07889">
        <w:rPr>
          <w:rFonts w:ascii="仿宋_GB2312" w:eastAsia="仿宋_GB2312" w:hint="eastAsia"/>
          <w:sz w:val="28"/>
          <w:szCs w:val="28"/>
        </w:rPr>
        <w:t>分别占当年总</w:t>
      </w:r>
      <w:r w:rsidR="008F3917">
        <w:rPr>
          <w:rFonts w:ascii="仿宋_GB2312" w:eastAsia="仿宋_GB2312" w:hint="eastAsia"/>
          <w:sz w:val="28"/>
          <w:szCs w:val="28"/>
        </w:rPr>
        <w:t>结</w:t>
      </w:r>
      <w:r w:rsidR="00A36C03">
        <w:rPr>
          <w:rFonts w:ascii="仿宋_GB2312" w:eastAsia="仿宋_GB2312" w:hint="eastAsia"/>
          <w:sz w:val="28"/>
          <w:szCs w:val="28"/>
        </w:rPr>
        <w:t>案数</w:t>
      </w:r>
      <w:r w:rsidRPr="00C07889">
        <w:rPr>
          <w:rFonts w:ascii="仿宋_GB2312" w:eastAsia="仿宋_GB2312" w:hint="eastAsia"/>
          <w:sz w:val="28"/>
          <w:szCs w:val="28"/>
        </w:rPr>
        <w:t>的</w:t>
      </w:r>
      <w:r w:rsidR="000670C8">
        <w:rPr>
          <w:rFonts w:ascii="仿宋_GB2312" w:eastAsia="仿宋_GB2312" w:hint="eastAsia"/>
          <w:sz w:val="28"/>
          <w:szCs w:val="28"/>
        </w:rPr>
        <w:t>45</w:t>
      </w:r>
      <w:r w:rsidRPr="00C07889">
        <w:rPr>
          <w:rFonts w:ascii="仿宋_GB2312" w:eastAsia="仿宋_GB2312" w:hint="eastAsia"/>
          <w:sz w:val="28"/>
          <w:szCs w:val="28"/>
        </w:rPr>
        <w:t>%、</w:t>
      </w:r>
      <w:r w:rsidR="000670C8">
        <w:rPr>
          <w:rFonts w:ascii="仿宋_GB2312" w:eastAsia="仿宋_GB2312" w:hint="eastAsia"/>
          <w:sz w:val="28"/>
          <w:szCs w:val="28"/>
        </w:rPr>
        <w:t>70</w:t>
      </w:r>
      <w:r w:rsidRPr="00C07889">
        <w:rPr>
          <w:rFonts w:ascii="仿宋_GB2312" w:eastAsia="仿宋_GB2312" w:hint="eastAsia"/>
          <w:sz w:val="28"/>
          <w:szCs w:val="28"/>
        </w:rPr>
        <w:t>%、</w:t>
      </w:r>
      <w:r w:rsidR="00A36C03">
        <w:rPr>
          <w:rFonts w:ascii="仿宋_GB2312" w:eastAsia="仿宋_GB2312" w:hint="eastAsia"/>
          <w:sz w:val="28"/>
          <w:szCs w:val="28"/>
        </w:rPr>
        <w:t>75</w:t>
      </w:r>
      <w:r w:rsidRPr="00C07889">
        <w:rPr>
          <w:rFonts w:ascii="仿宋_GB2312" w:eastAsia="仿宋_GB2312" w:hint="eastAsia"/>
          <w:sz w:val="28"/>
          <w:szCs w:val="28"/>
        </w:rPr>
        <w:t>%</w:t>
      </w:r>
      <w:r w:rsidR="001D4CEC">
        <w:rPr>
          <w:rFonts w:ascii="仿宋_GB2312" w:eastAsia="仿宋_GB2312" w:hint="eastAsia"/>
          <w:sz w:val="28"/>
          <w:szCs w:val="28"/>
        </w:rPr>
        <w:t>，</w:t>
      </w:r>
      <w:r w:rsidR="008F3917">
        <w:rPr>
          <w:rFonts w:ascii="仿宋_GB2312" w:eastAsia="仿宋_GB2312" w:hint="eastAsia"/>
          <w:sz w:val="28"/>
          <w:szCs w:val="28"/>
        </w:rPr>
        <w:t>主要原因</w:t>
      </w:r>
      <w:r w:rsidR="00AB7C63">
        <w:rPr>
          <w:rFonts w:ascii="仿宋_GB2312" w:eastAsia="仿宋_GB2312" w:hint="eastAsia"/>
          <w:sz w:val="28"/>
          <w:szCs w:val="28"/>
        </w:rPr>
        <w:t>与</w:t>
      </w:r>
      <w:r w:rsidRPr="00C07889">
        <w:rPr>
          <w:rFonts w:ascii="仿宋_GB2312" w:eastAsia="仿宋_GB2312" w:hint="eastAsia"/>
          <w:sz w:val="28"/>
          <w:szCs w:val="28"/>
        </w:rPr>
        <w:t>最高院对</w:t>
      </w:r>
      <w:r>
        <w:rPr>
          <w:rFonts w:ascii="仿宋_GB2312" w:eastAsia="仿宋_GB2312" w:hint="eastAsia"/>
          <w:sz w:val="28"/>
          <w:szCs w:val="28"/>
        </w:rPr>
        <w:t>除</w:t>
      </w:r>
      <w:r w:rsidRPr="00C07889">
        <w:rPr>
          <w:rFonts w:ascii="仿宋_GB2312" w:eastAsia="仿宋_GB2312" w:hint="eastAsia"/>
          <w:sz w:val="28"/>
          <w:szCs w:val="28"/>
        </w:rPr>
        <w:t>食品药品领域</w:t>
      </w:r>
      <w:r>
        <w:rPr>
          <w:rFonts w:ascii="仿宋_GB2312" w:eastAsia="仿宋_GB2312" w:hint="eastAsia"/>
          <w:sz w:val="28"/>
          <w:szCs w:val="28"/>
        </w:rPr>
        <w:t>外职业打假行为的逐步限制</w:t>
      </w:r>
      <w:r w:rsidRPr="00C07889">
        <w:rPr>
          <w:rFonts w:ascii="仿宋_GB2312" w:eastAsia="仿宋_GB2312" w:hint="eastAsia"/>
          <w:sz w:val="28"/>
          <w:szCs w:val="28"/>
        </w:rPr>
        <w:t>态度有关。</w:t>
      </w:r>
      <w:r w:rsidR="006C66A3">
        <w:rPr>
          <w:rFonts w:ascii="仿宋_GB2312" w:eastAsia="仿宋_GB2312" w:hint="eastAsia"/>
          <w:sz w:val="28"/>
          <w:szCs w:val="28"/>
        </w:rPr>
        <w:t>2017年5月19日，</w:t>
      </w:r>
      <w:r w:rsidR="004426CE">
        <w:rPr>
          <w:rFonts w:ascii="仿宋_GB2312" w:eastAsia="仿宋_GB2312" w:hint="eastAsia"/>
          <w:sz w:val="28"/>
          <w:szCs w:val="28"/>
        </w:rPr>
        <w:t>最高人民法院</w:t>
      </w:r>
      <w:r w:rsidR="006C66A3">
        <w:rPr>
          <w:rFonts w:ascii="仿宋_GB2312" w:eastAsia="仿宋_GB2312" w:hint="eastAsia"/>
          <w:sz w:val="28"/>
          <w:szCs w:val="28"/>
        </w:rPr>
        <w:t>办公厅在发给国家工商管理总局办公厅的答复意见中指出，目前可以考虑在除食品、药品之外的情形，逐步限制</w:t>
      </w:r>
      <w:r w:rsidR="004426CE">
        <w:rPr>
          <w:rFonts w:ascii="仿宋_GB2312" w:eastAsia="仿宋_GB2312" w:hint="eastAsia"/>
          <w:sz w:val="28"/>
          <w:szCs w:val="28"/>
        </w:rPr>
        <w:t>职业打假人牟利性打假行为</w:t>
      </w:r>
      <w:r w:rsidR="006C66A3">
        <w:rPr>
          <w:rFonts w:ascii="仿宋_GB2312" w:eastAsia="仿宋_GB2312" w:hint="eastAsia"/>
          <w:sz w:val="28"/>
          <w:szCs w:val="28"/>
        </w:rPr>
        <w:t>。</w:t>
      </w:r>
      <w:r>
        <w:rPr>
          <w:rFonts w:ascii="仿宋_GB2312" w:eastAsia="仿宋_GB2312" w:hint="eastAsia"/>
          <w:sz w:val="28"/>
          <w:szCs w:val="28"/>
        </w:rPr>
        <w:t>网购职业打假群体由此将食品、药品列为重点打假方向。</w:t>
      </w:r>
      <w:r w:rsidR="008F3917">
        <w:rPr>
          <w:rFonts w:ascii="仿宋_GB2312" w:eastAsia="仿宋_GB2312" w:hint="eastAsia"/>
          <w:b/>
          <w:sz w:val="28"/>
          <w:szCs w:val="28"/>
        </w:rPr>
        <w:t>二是涉</w:t>
      </w:r>
      <w:r w:rsidRPr="006D44EE">
        <w:rPr>
          <w:rFonts w:ascii="仿宋_GB2312" w:eastAsia="仿宋_GB2312" w:hint="eastAsia"/>
          <w:b/>
          <w:sz w:val="28"/>
          <w:szCs w:val="28"/>
        </w:rPr>
        <w:t>进口商品案件增长速度快。</w:t>
      </w:r>
      <w:r w:rsidR="004426CE" w:rsidRPr="00C07889">
        <w:rPr>
          <w:rFonts w:ascii="仿宋_GB2312" w:eastAsia="仿宋_GB2312" w:hint="eastAsia"/>
          <w:sz w:val="28"/>
          <w:szCs w:val="28"/>
        </w:rPr>
        <w:t>近年来，由于跨境电商、代购等行业的快速发展，进口商品的安全性也引起了社会的高度关注。</w:t>
      </w:r>
      <w:r w:rsidR="005C555C">
        <w:rPr>
          <w:rFonts w:ascii="仿宋_GB2312" w:eastAsia="仿宋_GB2312" w:hint="eastAsia"/>
          <w:sz w:val="28"/>
          <w:szCs w:val="28"/>
        </w:rPr>
        <w:t>近</w:t>
      </w:r>
      <w:r w:rsidR="004426CE" w:rsidRPr="00C07889">
        <w:rPr>
          <w:rFonts w:ascii="仿宋_GB2312" w:eastAsia="仿宋_GB2312" w:hint="eastAsia"/>
          <w:sz w:val="28"/>
          <w:szCs w:val="28"/>
        </w:rPr>
        <w:t>三年分别</w:t>
      </w:r>
      <w:r w:rsidR="00AB7C63">
        <w:rPr>
          <w:rFonts w:ascii="仿宋_GB2312" w:eastAsia="仿宋_GB2312" w:hint="eastAsia"/>
          <w:sz w:val="28"/>
          <w:szCs w:val="28"/>
        </w:rPr>
        <w:t>审结</w:t>
      </w:r>
      <w:r w:rsidR="007D3218">
        <w:rPr>
          <w:rFonts w:ascii="仿宋_GB2312" w:eastAsia="仿宋_GB2312" w:hint="eastAsia"/>
          <w:sz w:val="28"/>
          <w:szCs w:val="28"/>
        </w:rPr>
        <w:t>涉进口商品案件</w:t>
      </w:r>
      <w:r w:rsidR="00833498">
        <w:rPr>
          <w:rFonts w:ascii="仿宋_GB2312" w:eastAsia="仿宋_GB2312" w:hint="eastAsia"/>
          <w:sz w:val="28"/>
          <w:szCs w:val="28"/>
        </w:rPr>
        <w:t>4件、29件、10</w:t>
      </w:r>
      <w:r w:rsidR="00617D3E">
        <w:rPr>
          <w:rFonts w:ascii="仿宋_GB2312" w:eastAsia="仿宋_GB2312" w:hint="eastAsia"/>
          <w:sz w:val="28"/>
          <w:szCs w:val="28"/>
        </w:rPr>
        <w:t>1件，</w:t>
      </w:r>
      <w:r w:rsidR="00617D3E" w:rsidRPr="00C07889">
        <w:rPr>
          <w:rFonts w:ascii="仿宋_GB2312" w:eastAsia="仿宋_GB2312" w:hint="eastAsia"/>
          <w:sz w:val="28"/>
          <w:szCs w:val="28"/>
        </w:rPr>
        <w:t>案件增</w:t>
      </w:r>
      <w:r w:rsidR="00617D3E">
        <w:rPr>
          <w:rFonts w:ascii="仿宋_GB2312" w:eastAsia="仿宋_GB2312" w:hint="eastAsia"/>
          <w:sz w:val="28"/>
          <w:szCs w:val="28"/>
        </w:rPr>
        <w:t>速较快</w:t>
      </w:r>
      <w:r w:rsidR="004426CE" w:rsidRPr="00617D3E">
        <w:rPr>
          <w:rFonts w:ascii="仿宋_GB2312" w:eastAsia="仿宋_GB2312" w:hint="eastAsia"/>
          <w:sz w:val="28"/>
          <w:szCs w:val="28"/>
        </w:rPr>
        <w:t>。</w:t>
      </w:r>
      <w:r w:rsidR="00617D3E" w:rsidRPr="0078308C">
        <w:rPr>
          <w:rFonts w:ascii="仿宋_GB2312" w:eastAsia="仿宋_GB2312" w:hint="eastAsia"/>
          <w:sz w:val="28"/>
          <w:szCs w:val="28"/>
        </w:rPr>
        <w:t>134件案件中</w:t>
      </w:r>
      <w:r w:rsidR="008A2870">
        <w:rPr>
          <w:rFonts w:ascii="仿宋_GB2312" w:eastAsia="仿宋_GB2312" w:hint="eastAsia"/>
          <w:sz w:val="28"/>
          <w:szCs w:val="28"/>
        </w:rPr>
        <w:t>，</w:t>
      </w:r>
      <w:r w:rsidR="008A2870" w:rsidRPr="00852428">
        <w:rPr>
          <w:rFonts w:ascii="仿宋_GB2312" w:eastAsia="仿宋_GB2312" w:hint="eastAsia"/>
          <w:sz w:val="28"/>
          <w:szCs w:val="28"/>
        </w:rPr>
        <w:t>其中涉及进口自泰国的</w:t>
      </w:r>
      <w:r w:rsidR="008A2870" w:rsidRPr="00852428">
        <w:rPr>
          <w:rFonts w:ascii="仿宋_GB2312" w:eastAsia="仿宋_GB2312" w:hint="eastAsia"/>
          <w:sz w:val="28"/>
          <w:szCs w:val="28"/>
        </w:rPr>
        <w:lastRenderedPageBreak/>
        <w:t>商品案件数最高，为33件，占进口商品案件数的24.6%</w:t>
      </w:r>
      <w:r w:rsidR="0078308C">
        <w:rPr>
          <w:rFonts w:ascii="仿宋_GB2312" w:eastAsia="仿宋_GB2312" w:hint="eastAsia"/>
          <w:sz w:val="28"/>
          <w:szCs w:val="28"/>
        </w:rPr>
        <w:t>；</w:t>
      </w:r>
      <w:r w:rsidR="008A2870" w:rsidRPr="00852428">
        <w:rPr>
          <w:rFonts w:ascii="仿宋_GB2312" w:eastAsia="仿宋_GB2312" w:hint="eastAsia"/>
          <w:sz w:val="28"/>
          <w:szCs w:val="28"/>
        </w:rPr>
        <w:t>其次为进口自日本的商品，案件数为30件，占22.4%</w:t>
      </w:r>
      <w:r w:rsidR="0078308C">
        <w:rPr>
          <w:rFonts w:ascii="仿宋_GB2312" w:eastAsia="仿宋_GB2312" w:hint="eastAsia"/>
          <w:sz w:val="28"/>
          <w:szCs w:val="28"/>
        </w:rPr>
        <w:t>；</w:t>
      </w:r>
      <w:r w:rsidR="008A2870" w:rsidRPr="00852428">
        <w:rPr>
          <w:rFonts w:ascii="仿宋_GB2312" w:eastAsia="仿宋_GB2312" w:hint="eastAsia"/>
          <w:sz w:val="28"/>
          <w:szCs w:val="28"/>
        </w:rPr>
        <w:t>第三为进口自美国的商品，案件数为14件，</w:t>
      </w:r>
      <w:r w:rsidR="0078308C">
        <w:rPr>
          <w:rFonts w:ascii="仿宋_GB2312" w:eastAsia="仿宋_GB2312" w:hint="eastAsia"/>
          <w:sz w:val="28"/>
          <w:szCs w:val="28"/>
        </w:rPr>
        <w:t>约</w:t>
      </w:r>
      <w:r w:rsidR="008A2870" w:rsidRPr="00852428">
        <w:rPr>
          <w:rFonts w:ascii="仿宋_GB2312" w:eastAsia="仿宋_GB2312" w:hint="eastAsia"/>
          <w:sz w:val="28"/>
          <w:szCs w:val="28"/>
        </w:rPr>
        <w:t>占</w:t>
      </w:r>
      <w:r w:rsidR="0078308C">
        <w:rPr>
          <w:rFonts w:ascii="仿宋_GB2312" w:eastAsia="仿宋_GB2312" w:hint="eastAsia"/>
          <w:sz w:val="28"/>
          <w:szCs w:val="28"/>
        </w:rPr>
        <w:t>10</w:t>
      </w:r>
      <w:r w:rsidR="008A2870" w:rsidRPr="00852428">
        <w:rPr>
          <w:rFonts w:ascii="仿宋_GB2312" w:eastAsia="仿宋_GB2312" w:hint="eastAsia"/>
          <w:sz w:val="28"/>
          <w:szCs w:val="28"/>
        </w:rPr>
        <w:t>%</w:t>
      </w:r>
      <w:r w:rsidR="0078308C">
        <w:rPr>
          <w:rFonts w:ascii="仿宋_GB2312" w:eastAsia="仿宋_GB2312" w:hint="eastAsia"/>
          <w:sz w:val="28"/>
          <w:szCs w:val="28"/>
        </w:rPr>
        <w:t>。</w:t>
      </w:r>
      <w:r w:rsidR="008A2870">
        <w:rPr>
          <w:rFonts w:ascii="仿宋_GB2312" w:eastAsia="仿宋_GB2312" w:hint="eastAsia"/>
          <w:sz w:val="28"/>
          <w:szCs w:val="28"/>
        </w:rPr>
        <w:t>剩余进口商品来源地分别涉及</w:t>
      </w:r>
      <w:r w:rsidR="00617D3E" w:rsidRPr="00C07889">
        <w:rPr>
          <w:rFonts w:ascii="仿宋_GB2312" w:eastAsia="仿宋_GB2312" w:hint="eastAsia"/>
          <w:sz w:val="28"/>
          <w:szCs w:val="28"/>
        </w:rPr>
        <w:t>澳大利亚</w:t>
      </w:r>
      <w:r w:rsidR="00617D3E">
        <w:rPr>
          <w:rFonts w:ascii="仿宋_GB2312" w:eastAsia="仿宋_GB2312" w:hint="eastAsia"/>
          <w:sz w:val="28"/>
          <w:szCs w:val="28"/>
        </w:rPr>
        <w:t>（11件）</w:t>
      </w:r>
      <w:r w:rsidR="00617D3E" w:rsidRPr="00C07889">
        <w:rPr>
          <w:rFonts w:ascii="仿宋_GB2312" w:eastAsia="仿宋_GB2312" w:hint="eastAsia"/>
          <w:sz w:val="28"/>
          <w:szCs w:val="28"/>
        </w:rPr>
        <w:t>、</w:t>
      </w:r>
      <w:r w:rsidR="00617D3E">
        <w:rPr>
          <w:rFonts w:ascii="仿宋_GB2312" w:eastAsia="仿宋_GB2312" w:hint="eastAsia"/>
          <w:sz w:val="28"/>
          <w:szCs w:val="28"/>
        </w:rPr>
        <w:t>巴西（2件）、丹麦（1件）、德国（2件）、俄罗斯（2件）、</w:t>
      </w:r>
      <w:r w:rsidR="00617D3E" w:rsidRPr="00C07889">
        <w:rPr>
          <w:rFonts w:ascii="仿宋_GB2312" w:eastAsia="仿宋_GB2312" w:hint="eastAsia"/>
          <w:sz w:val="28"/>
          <w:szCs w:val="28"/>
        </w:rPr>
        <w:t>法国</w:t>
      </w:r>
      <w:r w:rsidR="00617D3E">
        <w:rPr>
          <w:rFonts w:ascii="仿宋_GB2312" w:eastAsia="仿宋_GB2312" w:hint="eastAsia"/>
          <w:sz w:val="28"/>
          <w:szCs w:val="28"/>
        </w:rPr>
        <w:t>（5件）</w:t>
      </w:r>
      <w:r w:rsidR="00617D3E" w:rsidRPr="00C07889">
        <w:rPr>
          <w:rFonts w:ascii="仿宋_GB2312" w:eastAsia="仿宋_GB2312" w:hint="eastAsia"/>
          <w:sz w:val="28"/>
          <w:szCs w:val="28"/>
        </w:rPr>
        <w:t>、菲律宾</w:t>
      </w:r>
      <w:r w:rsidR="00617D3E">
        <w:rPr>
          <w:rFonts w:ascii="仿宋_GB2312" w:eastAsia="仿宋_GB2312" w:hint="eastAsia"/>
          <w:sz w:val="28"/>
          <w:szCs w:val="28"/>
        </w:rPr>
        <w:t>（6件）</w:t>
      </w:r>
      <w:r w:rsidR="00617D3E" w:rsidRPr="00C07889">
        <w:rPr>
          <w:rFonts w:ascii="仿宋_GB2312" w:eastAsia="仿宋_GB2312" w:hint="eastAsia"/>
          <w:sz w:val="28"/>
          <w:szCs w:val="28"/>
        </w:rPr>
        <w:t>、</w:t>
      </w:r>
      <w:r w:rsidR="00617D3E">
        <w:rPr>
          <w:rFonts w:ascii="仿宋_GB2312" w:eastAsia="仿宋_GB2312" w:hint="eastAsia"/>
          <w:sz w:val="28"/>
          <w:szCs w:val="28"/>
        </w:rPr>
        <w:t>韩国（6件）、瑞士</w:t>
      </w:r>
      <w:r w:rsidR="00D15C24">
        <w:rPr>
          <w:rFonts w:ascii="仿宋_GB2312" w:eastAsia="仿宋_GB2312" w:hint="eastAsia"/>
          <w:sz w:val="28"/>
          <w:szCs w:val="28"/>
        </w:rPr>
        <w:t>（1件）</w:t>
      </w:r>
      <w:r w:rsidR="00617D3E">
        <w:rPr>
          <w:rFonts w:ascii="仿宋_GB2312" w:eastAsia="仿宋_GB2312" w:hint="eastAsia"/>
          <w:sz w:val="28"/>
          <w:szCs w:val="28"/>
        </w:rPr>
        <w:t>、西班牙</w:t>
      </w:r>
      <w:r w:rsidR="00D15C24">
        <w:rPr>
          <w:rFonts w:ascii="仿宋_GB2312" w:eastAsia="仿宋_GB2312" w:hint="eastAsia"/>
          <w:sz w:val="28"/>
          <w:szCs w:val="28"/>
        </w:rPr>
        <w:t>（3件）</w:t>
      </w:r>
      <w:r w:rsidR="00617D3E">
        <w:rPr>
          <w:rFonts w:ascii="仿宋_GB2312" w:eastAsia="仿宋_GB2312" w:hint="eastAsia"/>
          <w:sz w:val="28"/>
          <w:szCs w:val="28"/>
        </w:rPr>
        <w:t>、新加坡</w:t>
      </w:r>
      <w:r w:rsidR="00D15C24">
        <w:rPr>
          <w:rFonts w:ascii="仿宋_GB2312" w:eastAsia="仿宋_GB2312" w:hint="eastAsia"/>
          <w:sz w:val="28"/>
          <w:szCs w:val="28"/>
        </w:rPr>
        <w:t>（1件）</w:t>
      </w:r>
      <w:r w:rsidR="00617D3E">
        <w:rPr>
          <w:rFonts w:ascii="仿宋_GB2312" w:eastAsia="仿宋_GB2312" w:hint="eastAsia"/>
          <w:sz w:val="28"/>
          <w:szCs w:val="28"/>
        </w:rPr>
        <w:t>、新西兰</w:t>
      </w:r>
      <w:r w:rsidR="00D15C24">
        <w:rPr>
          <w:rFonts w:ascii="仿宋_GB2312" w:eastAsia="仿宋_GB2312" w:hint="eastAsia"/>
          <w:sz w:val="28"/>
          <w:szCs w:val="28"/>
        </w:rPr>
        <w:t>（2件）</w:t>
      </w:r>
      <w:r w:rsidR="00617D3E">
        <w:rPr>
          <w:rFonts w:ascii="仿宋_GB2312" w:eastAsia="仿宋_GB2312" w:hint="eastAsia"/>
          <w:sz w:val="28"/>
          <w:szCs w:val="28"/>
        </w:rPr>
        <w:t>、意大利</w:t>
      </w:r>
      <w:r w:rsidR="00D15C24">
        <w:rPr>
          <w:rFonts w:ascii="仿宋_GB2312" w:eastAsia="仿宋_GB2312" w:hint="eastAsia"/>
          <w:sz w:val="28"/>
          <w:szCs w:val="28"/>
        </w:rPr>
        <w:t>（3件）</w:t>
      </w:r>
      <w:r w:rsidR="00617D3E">
        <w:rPr>
          <w:rFonts w:ascii="仿宋_GB2312" w:eastAsia="仿宋_GB2312" w:hint="eastAsia"/>
          <w:sz w:val="28"/>
          <w:szCs w:val="28"/>
        </w:rPr>
        <w:t>、</w:t>
      </w:r>
      <w:r w:rsidR="00617D3E" w:rsidRPr="00C07889">
        <w:rPr>
          <w:rFonts w:ascii="仿宋_GB2312" w:eastAsia="仿宋_GB2312" w:hint="eastAsia"/>
          <w:sz w:val="28"/>
          <w:szCs w:val="28"/>
        </w:rPr>
        <w:t>印度尼西亚</w:t>
      </w:r>
      <w:r w:rsidR="00D15C24">
        <w:rPr>
          <w:rFonts w:ascii="仿宋_GB2312" w:eastAsia="仿宋_GB2312" w:hint="eastAsia"/>
          <w:sz w:val="28"/>
          <w:szCs w:val="28"/>
        </w:rPr>
        <w:t>（2件）</w:t>
      </w:r>
      <w:r w:rsidR="00617D3E" w:rsidRPr="00C07889">
        <w:rPr>
          <w:rFonts w:ascii="仿宋_GB2312" w:eastAsia="仿宋_GB2312" w:hint="eastAsia"/>
          <w:sz w:val="28"/>
          <w:szCs w:val="28"/>
        </w:rPr>
        <w:t>、</w:t>
      </w:r>
      <w:r w:rsidR="004426CE" w:rsidRPr="00C07889">
        <w:rPr>
          <w:rFonts w:ascii="仿宋_GB2312" w:eastAsia="仿宋_GB2312" w:hint="eastAsia"/>
          <w:sz w:val="28"/>
          <w:szCs w:val="28"/>
        </w:rPr>
        <w:t>英国</w:t>
      </w:r>
      <w:r w:rsidR="00D15C24">
        <w:rPr>
          <w:rFonts w:ascii="仿宋_GB2312" w:eastAsia="仿宋_GB2312" w:hint="eastAsia"/>
          <w:sz w:val="28"/>
          <w:szCs w:val="28"/>
        </w:rPr>
        <w:t>（3件）</w:t>
      </w:r>
      <w:r w:rsidR="00617D3E">
        <w:rPr>
          <w:rFonts w:ascii="仿宋_GB2312" w:eastAsia="仿宋_GB2312" w:hint="eastAsia"/>
          <w:sz w:val="28"/>
          <w:szCs w:val="28"/>
        </w:rPr>
        <w:t>、越南</w:t>
      </w:r>
      <w:r w:rsidR="00D15C24">
        <w:rPr>
          <w:rFonts w:ascii="仿宋_GB2312" w:eastAsia="仿宋_GB2312" w:hint="eastAsia"/>
          <w:sz w:val="28"/>
          <w:szCs w:val="28"/>
        </w:rPr>
        <w:t>（6件）、我国香港地区（1件）</w:t>
      </w:r>
      <w:r w:rsidR="00833498">
        <w:rPr>
          <w:rFonts w:ascii="仿宋_GB2312" w:eastAsia="仿宋_GB2312" w:hint="eastAsia"/>
          <w:sz w:val="28"/>
          <w:szCs w:val="28"/>
        </w:rPr>
        <w:t>。</w:t>
      </w:r>
      <w:r w:rsidR="00852428" w:rsidRPr="00852428">
        <w:rPr>
          <w:rFonts w:ascii="仿宋_GB2312" w:eastAsia="仿宋_GB2312" w:hint="eastAsia"/>
          <w:sz w:val="28"/>
          <w:szCs w:val="28"/>
        </w:rPr>
        <w:t>（详见表4）</w:t>
      </w:r>
    </w:p>
    <w:p w:rsidR="00C07889" w:rsidRPr="00C07889" w:rsidRDefault="0089219A" w:rsidP="0089219A">
      <w:pPr>
        <w:ind w:firstLineChars="200" w:firstLine="560"/>
        <w:jc w:val="center"/>
        <w:rPr>
          <w:rFonts w:ascii="仿宋_GB2312" w:eastAsia="仿宋_GB2312"/>
          <w:sz w:val="28"/>
          <w:szCs w:val="28"/>
        </w:rPr>
      </w:pPr>
      <w:r w:rsidRPr="0089219A">
        <w:rPr>
          <w:rFonts w:ascii="仿宋_GB2312" w:eastAsia="仿宋_GB2312"/>
          <w:noProof/>
          <w:sz w:val="28"/>
          <w:szCs w:val="28"/>
        </w:rPr>
        <w:drawing>
          <wp:inline distT="0" distB="0" distL="0" distR="0">
            <wp:extent cx="5274310" cy="4637608"/>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07889" w:rsidRPr="00C07889">
        <w:rPr>
          <w:rFonts w:ascii="仿宋_GB2312" w:eastAsia="仿宋_GB2312" w:hint="eastAsia"/>
          <w:sz w:val="28"/>
          <w:szCs w:val="28"/>
        </w:rPr>
        <w:t>图表</w:t>
      </w:r>
      <w:r w:rsidR="00852428">
        <w:rPr>
          <w:rFonts w:ascii="仿宋_GB2312" w:eastAsia="仿宋_GB2312" w:hint="eastAsia"/>
          <w:sz w:val="28"/>
          <w:szCs w:val="28"/>
        </w:rPr>
        <w:t>4</w:t>
      </w:r>
    </w:p>
    <w:p w:rsidR="00C07889" w:rsidRPr="00107C73" w:rsidRDefault="00C07889" w:rsidP="002F1EAF">
      <w:pPr>
        <w:ind w:firstLineChars="200" w:firstLine="560"/>
        <w:rPr>
          <w:rFonts w:ascii="仿宋_GB2312" w:eastAsia="仿宋_GB2312"/>
          <w:b/>
          <w:sz w:val="28"/>
          <w:szCs w:val="28"/>
        </w:rPr>
      </w:pPr>
      <w:r w:rsidRPr="00107C73">
        <w:rPr>
          <w:rFonts w:ascii="仿宋_GB2312" w:eastAsia="仿宋_GB2312" w:hint="eastAsia"/>
          <w:b/>
          <w:sz w:val="28"/>
          <w:szCs w:val="28"/>
        </w:rPr>
        <w:t>（四）主要诉请依据</w:t>
      </w:r>
    </w:p>
    <w:p w:rsidR="00C07889" w:rsidRDefault="00370504" w:rsidP="00107C73">
      <w:pPr>
        <w:ind w:firstLineChars="200" w:firstLine="560"/>
        <w:rPr>
          <w:rFonts w:ascii="仿宋_GB2312" w:eastAsia="仿宋_GB2312"/>
          <w:sz w:val="28"/>
          <w:szCs w:val="28"/>
        </w:rPr>
      </w:pPr>
      <w:r>
        <w:rPr>
          <w:rFonts w:ascii="仿宋_GB2312" w:eastAsia="仿宋_GB2312" w:hint="eastAsia"/>
          <w:sz w:val="28"/>
          <w:szCs w:val="28"/>
        </w:rPr>
        <w:lastRenderedPageBreak/>
        <w:t>从诉请依据来看，</w:t>
      </w:r>
      <w:r w:rsidR="00661E2A">
        <w:rPr>
          <w:rFonts w:ascii="仿宋_GB2312" w:eastAsia="仿宋_GB2312" w:hint="eastAsia"/>
          <w:sz w:val="28"/>
          <w:szCs w:val="28"/>
        </w:rPr>
        <w:t>网购职业打假案件诉请的</w:t>
      </w:r>
      <w:r w:rsidR="00B1724B">
        <w:rPr>
          <w:rFonts w:ascii="仿宋_GB2312" w:eastAsia="仿宋_GB2312" w:hint="eastAsia"/>
          <w:sz w:val="28"/>
          <w:szCs w:val="28"/>
        </w:rPr>
        <w:t>惩罚性赔偿金</w:t>
      </w:r>
      <w:r w:rsidR="00661E2A">
        <w:rPr>
          <w:rFonts w:ascii="仿宋_GB2312" w:eastAsia="仿宋_GB2312" w:hint="eastAsia"/>
          <w:sz w:val="28"/>
          <w:szCs w:val="28"/>
        </w:rPr>
        <w:t>具体</w:t>
      </w:r>
      <w:r w:rsidR="00C07889" w:rsidRPr="00C07889">
        <w:rPr>
          <w:rFonts w:ascii="仿宋_GB2312" w:eastAsia="仿宋_GB2312" w:hint="eastAsia"/>
          <w:sz w:val="28"/>
          <w:szCs w:val="28"/>
        </w:rPr>
        <w:t>理由</w:t>
      </w:r>
      <w:r w:rsidR="00661E2A">
        <w:rPr>
          <w:rFonts w:ascii="仿宋_GB2312" w:eastAsia="仿宋_GB2312" w:hint="eastAsia"/>
          <w:sz w:val="28"/>
          <w:szCs w:val="28"/>
        </w:rPr>
        <w:t>主要</w:t>
      </w:r>
      <w:r w:rsidR="00C07889" w:rsidRPr="00C07889">
        <w:rPr>
          <w:rFonts w:ascii="仿宋_GB2312" w:eastAsia="仿宋_GB2312" w:hint="eastAsia"/>
          <w:sz w:val="28"/>
          <w:szCs w:val="28"/>
        </w:rPr>
        <w:t>集中在：假冒伪劣商品、“三无”产品</w:t>
      </w:r>
      <w:r w:rsidR="0078308C">
        <w:rPr>
          <w:rFonts w:ascii="仿宋_GB2312" w:eastAsia="仿宋_GB2312" w:hint="eastAsia"/>
          <w:sz w:val="28"/>
          <w:szCs w:val="28"/>
        </w:rPr>
        <w:t>，</w:t>
      </w:r>
      <w:r w:rsidR="00C07889" w:rsidRPr="00C07889">
        <w:rPr>
          <w:rFonts w:ascii="仿宋_GB2312" w:eastAsia="仿宋_GB2312" w:hint="eastAsia"/>
          <w:sz w:val="28"/>
          <w:szCs w:val="28"/>
        </w:rPr>
        <w:t>冒用他人公司字号、虚构生产企业</w:t>
      </w:r>
      <w:r w:rsidR="0078308C">
        <w:rPr>
          <w:rFonts w:ascii="仿宋_GB2312" w:eastAsia="仿宋_GB2312" w:hint="eastAsia"/>
          <w:sz w:val="28"/>
          <w:szCs w:val="28"/>
        </w:rPr>
        <w:t>，</w:t>
      </w:r>
      <w:r w:rsidR="00C07889" w:rsidRPr="00C07889">
        <w:rPr>
          <w:rFonts w:ascii="仿宋_GB2312" w:eastAsia="仿宋_GB2312" w:hint="eastAsia"/>
          <w:sz w:val="28"/>
          <w:szCs w:val="28"/>
        </w:rPr>
        <w:t>无食品、保健品或化妆品生产许可批文</w:t>
      </w:r>
      <w:r w:rsidR="0078308C">
        <w:rPr>
          <w:rFonts w:ascii="仿宋_GB2312" w:eastAsia="仿宋_GB2312" w:hint="eastAsia"/>
          <w:sz w:val="28"/>
          <w:szCs w:val="28"/>
        </w:rPr>
        <w:t>，</w:t>
      </w:r>
      <w:r w:rsidR="00C07889" w:rsidRPr="00C07889">
        <w:rPr>
          <w:rFonts w:ascii="仿宋_GB2312" w:eastAsia="仿宋_GB2312" w:hint="eastAsia"/>
          <w:sz w:val="28"/>
          <w:szCs w:val="28"/>
        </w:rPr>
        <w:t>进口商品无中文标签、无检验检疫</w:t>
      </w:r>
      <w:r w:rsidR="00B25519">
        <w:rPr>
          <w:rFonts w:ascii="仿宋_GB2312" w:eastAsia="仿宋_GB2312" w:hint="eastAsia"/>
          <w:sz w:val="28"/>
          <w:szCs w:val="28"/>
        </w:rPr>
        <w:t>合格</w:t>
      </w:r>
      <w:r w:rsidR="00661E2A">
        <w:rPr>
          <w:rFonts w:ascii="仿宋_GB2312" w:eastAsia="仿宋_GB2312" w:hint="eastAsia"/>
          <w:sz w:val="28"/>
          <w:szCs w:val="28"/>
        </w:rPr>
        <w:t>证明、无代理商信息</w:t>
      </w:r>
      <w:r w:rsidR="0078308C">
        <w:rPr>
          <w:rFonts w:ascii="仿宋_GB2312" w:eastAsia="仿宋_GB2312" w:hint="eastAsia"/>
          <w:sz w:val="28"/>
          <w:szCs w:val="28"/>
        </w:rPr>
        <w:t>，</w:t>
      </w:r>
      <w:r w:rsidR="00661E2A">
        <w:rPr>
          <w:rFonts w:ascii="仿宋_GB2312" w:eastAsia="仿宋_GB2312" w:hint="eastAsia"/>
          <w:sz w:val="28"/>
          <w:szCs w:val="28"/>
        </w:rPr>
        <w:t>含有国家禁止添加成分</w:t>
      </w:r>
      <w:r w:rsidR="0078308C">
        <w:rPr>
          <w:rFonts w:ascii="仿宋_GB2312" w:eastAsia="仿宋_GB2312" w:hint="eastAsia"/>
          <w:sz w:val="28"/>
          <w:szCs w:val="28"/>
        </w:rPr>
        <w:t>，</w:t>
      </w:r>
      <w:r w:rsidR="00661E2A">
        <w:rPr>
          <w:rFonts w:ascii="仿宋_GB2312" w:eastAsia="仿宋_GB2312" w:hint="eastAsia"/>
          <w:sz w:val="28"/>
          <w:szCs w:val="28"/>
        </w:rPr>
        <w:t>净重与包装标示不符</w:t>
      </w:r>
      <w:r w:rsidR="00C07889" w:rsidRPr="00C07889">
        <w:rPr>
          <w:rFonts w:ascii="仿宋_GB2312" w:eastAsia="仿宋_GB2312" w:hint="eastAsia"/>
          <w:sz w:val="28"/>
          <w:szCs w:val="28"/>
        </w:rPr>
        <w:t>等。其中</w:t>
      </w:r>
      <w:r w:rsidR="00B25519">
        <w:rPr>
          <w:rFonts w:ascii="仿宋_GB2312" w:eastAsia="仿宋_GB2312" w:hint="eastAsia"/>
          <w:sz w:val="28"/>
          <w:szCs w:val="28"/>
        </w:rPr>
        <w:t>涉及三无、假货类产品共计113件，</w:t>
      </w:r>
      <w:r w:rsidR="00C07889" w:rsidRPr="00C07889">
        <w:rPr>
          <w:rFonts w:ascii="仿宋_GB2312" w:eastAsia="仿宋_GB2312" w:hint="eastAsia"/>
          <w:sz w:val="28"/>
          <w:szCs w:val="28"/>
        </w:rPr>
        <w:t>涉及</w:t>
      </w:r>
      <w:r w:rsidR="0078308C" w:rsidRPr="00C07889">
        <w:rPr>
          <w:rFonts w:ascii="仿宋_GB2312" w:eastAsia="仿宋_GB2312" w:hint="eastAsia"/>
          <w:sz w:val="28"/>
          <w:szCs w:val="28"/>
        </w:rPr>
        <w:t>进口商品</w:t>
      </w:r>
      <w:r w:rsidR="00B25519">
        <w:rPr>
          <w:rFonts w:ascii="仿宋_GB2312" w:eastAsia="仿宋_GB2312" w:hint="eastAsia"/>
          <w:sz w:val="28"/>
          <w:szCs w:val="28"/>
        </w:rPr>
        <w:t>无中文标签和检验检疫合格证明类</w:t>
      </w:r>
      <w:r w:rsidR="00C07889" w:rsidRPr="00C07889">
        <w:rPr>
          <w:rFonts w:ascii="仿宋_GB2312" w:eastAsia="仿宋_GB2312" w:hint="eastAsia"/>
          <w:sz w:val="28"/>
          <w:szCs w:val="28"/>
        </w:rPr>
        <w:t>案件</w:t>
      </w:r>
      <w:r w:rsidR="00B25519">
        <w:rPr>
          <w:rFonts w:ascii="仿宋_GB2312" w:eastAsia="仿宋_GB2312" w:hint="eastAsia"/>
          <w:sz w:val="28"/>
          <w:szCs w:val="28"/>
        </w:rPr>
        <w:t>109</w:t>
      </w:r>
      <w:r w:rsidR="0078308C">
        <w:rPr>
          <w:rFonts w:ascii="仿宋_GB2312" w:eastAsia="仿宋_GB2312" w:hint="eastAsia"/>
          <w:sz w:val="28"/>
          <w:szCs w:val="28"/>
        </w:rPr>
        <w:t>件</w:t>
      </w:r>
      <w:r w:rsidR="00C07889" w:rsidRPr="00C07889">
        <w:rPr>
          <w:rFonts w:ascii="仿宋_GB2312" w:eastAsia="仿宋_GB2312" w:hint="eastAsia"/>
          <w:sz w:val="28"/>
          <w:szCs w:val="28"/>
        </w:rPr>
        <w:t>，</w:t>
      </w:r>
      <w:r w:rsidR="00B25519">
        <w:rPr>
          <w:rFonts w:ascii="仿宋_GB2312" w:eastAsia="仿宋_GB2312" w:hint="eastAsia"/>
          <w:sz w:val="28"/>
          <w:szCs w:val="28"/>
        </w:rPr>
        <w:t>各占总结案数三分之一左右。</w:t>
      </w:r>
      <w:r w:rsidR="00C41E2F">
        <w:rPr>
          <w:rFonts w:ascii="仿宋_GB2312" w:eastAsia="仿宋_GB2312" w:hint="eastAsia"/>
          <w:sz w:val="28"/>
          <w:szCs w:val="28"/>
        </w:rPr>
        <w:t>（见图表5）</w:t>
      </w:r>
    </w:p>
    <w:p w:rsidR="00C41E2F" w:rsidRPr="00C07889" w:rsidRDefault="00C41E2F" w:rsidP="00C41E2F">
      <w:pPr>
        <w:ind w:firstLineChars="200" w:firstLine="560"/>
        <w:rPr>
          <w:rFonts w:ascii="仿宋_GB2312" w:eastAsia="仿宋_GB2312"/>
          <w:sz w:val="28"/>
          <w:szCs w:val="28"/>
        </w:rPr>
      </w:pPr>
      <w:r w:rsidRPr="00C41E2F">
        <w:rPr>
          <w:rFonts w:ascii="仿宋_GB2312" w:eastAsia="仿宋_GB2312"/>
          <w:noProof/>
          <w:sz w:val="28"/>
          <w:szCs w:val="28"/>
        </w:rPr>
        <w:drawing>
          <wp:inline distT="0" distB="0" distL="0" distR="0">
            <wp:extent cx="4819650" cy="3819525"/>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7889" w:rsidRPr="00C07889" w:rsidRDefault="00C07889" w:rsidP="00C41E2F">
      <w:pPr>
        <w:jc w:val="center"/>
        <w:rPr>
          <w:rFonts w:ascii="仿宋_GB2312" w:eastAsia="仿宋_GB2312"/>
          <w:sz w:val="28"/>
          <w:szCs w:val="28"/>
        </w:rPr>
      </w:pPr>
      <w:r w:rsidRPr="00C07889">
        <w:rPr>
          <w:rFonts w:ascii="仿宋_GB2312" w:eastAsia="仿宋_GB2312" w:hint="eastAsia"/>
          <w:sz w:val="28"/>
          <w:szCs w:val="28"/>
        </w:rPr>
        <w:t>图表</w:t>
      </w:r>
      <w:r w:rsidR="00C41E2F">
        <w:rPr>
          <w:rFonts w:ascii="仿宋_GB2312" w:eastAsia="仿宋_GB2312" w:hint="eastAsia"/>
          <w:sz w:val="28"/>
          <w:szCs w:val="28"/>
        </w:rPr>
        <w:t>5</w:t>
      </w:r>
    </w:p>
    <w:p w:rsidR="00C07889" w:rsidRPr="00107C73" w:rsidRDefault="00C07889" w:rsidP="002F1EAF">
      <w:pPr>
        <w:ind w:firstLineChars="200" w:firstLine="560"/>
        <w:rPr>
          <w:rFonts w:ascii="仿宋_GB2312" w:eastAsia="仿宋_GB2312"/>
          <w:b/>
          <w:sz w:val="28"/>
          <w:szCs w:val="28"/>
        </w:rPr>
      </w:pPr>
      <w:r w:rsidRPr="00107C73">
        <w:rPr>
          <w:rFonts w:ascii="仿宋_GB2312" w:eastAsia="仿宋_GB2312" w:hint="eastAsia"/>
          <w:b/>
          <w:sz w:val="28"/>
          <w:szCs w:val="28"/>
        </w:rPr>
        <w:t>（</w:t>
      </w:r>
      <w:r w:rsidR="00107C73" w:rsidRPr="00107C73">
        <w:rPr>
          <w:rFonts w:ascii="仿宋_GB2312" w:eastAsia="仿宋_GB2312" w:hint="eastAsia"/>
          <w:b/>
          <w:sz w:val="28"/>
          <w:szCs w:val="28"/>
        </w:rPr>
        <w:t>五</w:t>
      </w:r>
      <w:r w:rsidRPr="00107C73">
        <w:rPr>
          <w:rFonts w:ascii="仿宋_GB2312" w:eastAsia="仿宋_GB2312" w:hint="eastAsia"/>
          <w:b/>
          <w:sz w:val="28"/>
          <w:szCs w:val="28"/>
        </w:rPr>
        <w:t>）结案方式</w:t>
      </w:r>
    </w:p>
    <w:p w:rsidR="00243134" w:rsidRDefault="00370504" w:rsidP="00107C73">
      <w:pPr>
        <w:ind w:firstLineChars="200" w:firstLine="560"/>
        <w:rPr>
          <w:rFonts w:ascii="仿宋_GB2312" w:eastAsia="仿宋_GB2312"/>
          <w:sz w:val="28"/>
          <w:szCs w:val="28"/>
        </w:rPr>
      </w:pPr>
      <w:r>
        <w:rPr>
          <w:rFonts w:ascii="仿宋_GB2312" w:eastAsia="仿宋_GB2312" w:hint="eastAsia"/>
          <w:sz w:val="28"/>
          <w:szCs w:val="28"/>
        </w:rPr>
        <w:t>从结案方式来看，</w:t>
      </w:r>
      <w:r w:rsidRPr="00022EF2">
        <w:rPr>
          <w:rFonts w:ascii="仿宋_GB2312" w:eastAsia="仿宋_GB2312" w:hint="eastAsia"/>
          <w:sz w:val="28"/>
          <w:szCs w:val="28"/>
        </w:rPr>
        <w:t xml:space="preserve"> </w:t>
      </w:r>
      <w:r w:rsidR="00022EF2" w:rsidRPr="00022EF2">
        <w:rPr>
          <w:rFonts w:ascii="仿宋_GB2312" w:eastAsia="仿宋_GB2312" w:hint="eastAsia"/>
          <w:sz w:val="28"/>
          <w:szCs w:val="28"/>
        </w:rPr>
        <w:t>33</w:t>
      </w:r>
      <w:r w:rsidR="0078308C">
        <w:rPr>
          <w:rFonts w:ascii="仿宋_GB2312" w:eastAsia="仿宋_GB2312" w:hint="eastAsia"/>
          <w:sz w:val="28"/>
          <w:szCs w:val="28"/>
        </w:rPr>
        <w:t>0</w:t>
      </w:r>
      <w:r w:rsidR="00C07889" w:rsidRPr="00022EF2">
        <w:rPr>
          <w:rFonts w:ascii="仿宋_GB2312" w:eastAsia="仿宋_GB2312" w:hint="eastAsia"/>
          <w:sz w:val="28"/>
          <w:szCs w:val="28"/>
        </w:rPr>
        <w:t>件案件中</w:t>
      </w:r>
      <w:r w:rsidR="00C07889" w:rsidRPr="00C07889">
        <w:rPr>
          <w:rFonts w:ascii="仿宋_GB2312" w:eastAsia="仿宋_GB2312" w:hint="eastAsia"/>
          <w:sz w:val="28"/>
          <w:szCs w:val="28"/>
        </w:rPr>
        <w:t>，调解结案</w:t>
      </w:r>
      <w:r w:rsidR="00B1724B">
        <w:rPr>
          <w:rFonts w:ascii="仿宋_GB2312" w:eastAsia="仿宋_GB2312" w:hint="eastAsia"/>
          <w:sz w:val="28"/>
          <w:szCs w:val="28"/>
        </w:rPr>
        <w:t>26</w:t>
      </w:r>
      <w:r w:rsidR="00C07889" w:rsidRPr="00C07889">
        <w:rPr>
          <w:rFonts w:ascii="仿宋_GB2312" w:eastAsia="仿宋_GB2312" w:hint="eastAsia"/>
          <w:sz w:val="28"/>
          <w:szCs w:val="28"/>
        </w:rPr>
        <w:t>件、撤诉结案</w:t>
      </w:r>
      <w:r w:rsidR="00B1724B">
        <w:rPr>
          <w:rFonts w:ascii="仿宋_GB2312" w:eastAsia="仿宋_GB2312" w:hint="eastAsia"/>
          <w:sz w:val="28"/>
          <w:szCs w:val="28"/>
        </w:rPr>
        <w:t>2</w:t>
      </w:r>
      <w:r w:rsidR="00243134">
        <w:rPr>
          <w:rFonts w:ascii="仿宋_GB2312" w:eastAsia="仿宋_GB2312" w:hint="eastAsia"/>
          <w:sz w:val="28"/>
          <w:szCs w:val="28"/>
        </w:rPr>
        <w:t>49</w:t>
      </w:r>
      <w:r w:rsidR="00C07889" w:rsidRPr="00C07889">
        <w:rPr>
          <w:rFonts w:ascii="仿宋_GB2312" w:eastAsia="仿宋_GB2312" w:hint="eastAsia"/>
          <w:sz w:val="28"/>
          <w:szCs w:val="28"/>
        </w:rPr>
        <w:t>件</w:t>
      </w:r>
      <w:r>
        <w:rPr>
          <w:rFonts w:ascii="仿宋_GB2312" w:eastAsia="仿宋_GB2312" w:hint="eastAsia"/>
          <w:sz w:val="28"/>
          <w:szCs w:val="28"/>
        </w:rPr>
        <w:t>（</w:t>
      </w:r>
      <w:r w:rsidR="00B1724B">
        <w:rPr>
          <w:rFonts w:ascii="仿宋_GB2312" w:eastAsia="仿宋_GB2312" w:hint="eastAsia"/>
          <w:sz w:val="28"/>
          <w:szCs w:val="28"/>
        </w:rPr>
        <w:t>其中和解撤诉225件</w:t>
      </w:r>
      <w:r>
        <w:rPr>
          <w:rFonts w:ascii="仿宋_GB2312" w:eastAsia="仿宋_GB2312" w:hint="eastAsia"/>
          <w:sz w:val="28"/>
          <w:szCs w:val="28"/>
        </w:rPr>
        <w:t>）</w:t>
      </w:r>
      <w:r w:rsidR="00C07889" w:rsidRPr="00C07889">
        <w:rPr>
          <w:rFonts w:ascii="仿宋_GB2312" w:eastAsia="仿宋_GB2312" w:hint="eastAsia"/>
          <w:sz w:val="28"/>
          <w:szCs w:val="28"/>
        </w:rPr>
        <w:t>，两项合计占比高达</w:t>
      </w:r>
      <w:r w:rsidR="00B1724B">
        <w:rPr>
          <w:rFonts w:ascii="仿宋_GB2312" w:eastAsia="仿宋_GB2312" w:hint="eastAsia"/>
          <w:sz w:val="28"/>
          <w:szCs w:val="28"/>
        </w:rPr>
        <w:t>83</w:t>
      </w:r>
      <w:r w:rsidR="00C07889" w:rsidRPr="00C07889">
        <w:rPr>
          <w:rFonts w:ascii="仿宋_GB2312" w:eastAsia="仿宋_GB2312" w:hint="eastAsia"/>
          <w:sz w:val="28"/>
          <w:szCs w:val="28"/>
        </w:rPr>
        <w:t>%；判决结案</w:t>
      </w:r>
      <w:r w:rsidR="00B1724B">
        <w:rPr>
          <w:rFonts w:ascii="仿宋_GB2312" w:eastAsia="仿宋_GB2312" w:hint="eastAsia"/>
          <w:sz w:val="28"/>
          <w:szCs w:val="28"/>
        </w:rPr>
        <w:t>5</w:t>
      </w:r>
      <w:r w:rsidR="00243134">
        <w:rPr>
          <w:rFonts w:ascii="仿宋_GB2312" w:eastAsia="仿宋_GB2312" w:hint="eastAsia"/>
          <w:sz w:val="28"/>
          <w:szCs w:val="28"/>
        </w:rPr>
        <w:t>0</w:t>
      </w:r>
      <w:r w:rsidR="00C07889" w:rsidRPr="00C07889">
        <w:rPr>
          <w:rFonts w:ascii="仿宋_GB2312" w:eastAsia="仿宋_GB2312" w:hint="eastAsia"/>
          <w:sz w:val="28"/>
          <w:szCs w:val="28"/>
        </w:rPr>
        <w:t>件，占比约</w:t>
      </w:r>
      <w:r w:rsidR="00B1724B">
        <w:rPr>
          <w:rFonts w:ascii="仿宋_GB2312" w:eastAsia="仿宋_GB2312" w:hint="eastAsia"/>
          <w:sz w:val="28"/>
          <w:szCs w:val="28"/>
        </w:rPr>
        <w:t>15</w:t>
      </w:r>
      <w:r w:rsidR="00C07889" w:rsidRPr="00C07889">
        <w:rPr>
          <w:rFonts w:ascii="仿宋_GB2312" w:eastAsia="仿宋_GB2312" w:hint="eastAsia"/>
          <w:sz w:val="28"/>
          <w:szCs w:val="28"/>
        </w:rPr>
        <w:t>%</w:t>
      </w:r>
      <w:r w:rsidR="00243134">
        <w:rPr>
          <w:rFonts w:ascii="仿宋_GB2312" w:eastAsia="仿宋_GB2312" w:hint="eastAsia"/>
          <w:sz w:val="28"/>
          <w:szCs w:val="28"/>
        </w:rPr>
        <w:t>；移送、驳回起诉等其他方式结案的5件，</w:t>
      </w:r>
      <w:r w:rsidR="00070014">
        <w:rPr>
          <w:rFonts w:ascii="仿宋_GB2312" w:eastAsia="仿宋_GB2312" w:hint="eastAsia"/>
          <w:sz w:val="28"/>
          <w:szCs w:val="28"/>
        </w:rPr>
        <w:t>约</w:t>
      </w:r>
      <w:r w:rsidR="00243134">
        <w:rPr>
          <w:rFonts w:ascii="仿宋_GB2312" w:eastAsia="仿宋_GB2312" w:hint="eastAsia"/>
          <w:sz w:val="28"/>
          <w:szCs w:val="28"/>
        </w:rPr>
        <w:t>占</w:t>
      </w:r>
      <w:r w:rsidR="00070014">
        <w:rPr>
          <w:rFonts w:ascii="仿宋_GB2312" w:eastAsia="仿宋_GB2312" w:hint="eastAsia"/>
          <w:sz w:val="28"/>
          <w:szCs w:val="28"/>
        </w:rPr>
        <w:lastRenderedPageBreak/>
        <w:t>2</w:t>
      </w:r>
      <w:r w:rsidR="00243134">
        <w:rPr>
          <w:rFonts w:ascii="仿宋_GB2312" w:eastAsia="仿宋_GB2312" w:hint="eastAsia"/>
          <w:sz w:val="28"/>
          <w:szCs w:val="28"/>
        </w:rPr>
        <w:t>%</w:t>
      </w:r>
      <w:r w:rsidR="00C07889" w:rsidRPr="00C07889">
        <w:rPr>
          <w:rFonts w:ascii="仿宋_GB2312" w:eastAsia="仿宋_GB2312" w:hint="eastAsia"/>
          <w:sz w:val="28"/>
          <w:szCs w:val="28"/>
        </w:rPr>
        <w:t>。</w:t>
      </w:r>
      <w:r w:rsidR="001D00A5">
        <w:rPr>
          <w:rFonts w:ascii="仿宋_GB2312" w:eastAsia="仿宋_GB2312" w:hint="eastAsia"/>
          <w:sz w:val="28"/>
          <w:szCs w:val="28"/>
        </w:rPr>
        <w:t>（详见图表6）</w:t>
      </w:r>
    </w:p>
    <w:p w:rsidR="00C07889" w:rsidRDefault="00243134" w:rsidP="00070014">
      <w:pPr>
        <w:ind w:firstLineChars="200" w:firstLine="560"/>
        <w:rPr>
          <w:rFonts w:ascii="仿宋_GB2312" w:eastAsia="仿宋_GB2312"/>
          <w:sz w:val="28"/>
          <w:szCs w:val="28"/>
        </w:rPr>
      </w:pPr>
      <w:r>
        <w:rPr>
          <w:rFonts w:ascii="仿宋_GB2312" w:eastAsia="仿宋_GB2312" w:hint="eastAsia"/>
          <w:sz w:val="28"/>
          <w:szCs w:val="28"/>
        </w:rPr>
        <w:t>调撤比例较高的</w:t>
      </w:r>
      <w:r w:rsidR="00C07889" w:rsidRPr="00C07889">
        <w:rPr>
          <w:rFonts w:ascii="仿宋_GB2312" w:eastAsia="仿宋_GB2312" w:hint="eastAsia"/>
          <w:sz w:val="28"/>
          <w:szCs w:val="28"/>
        </w:rPr>
        <w:t>主要原因是</w:t>
      </w:r>
      <w:r w:rsidR="00D113A0">
        <w:rPr>
          <w:rFonts w:ascii="仿宋_GB2312" w:eastAsia="仿宋_GB2312" w:hint="eastAsia"/>
          <w:sz w:val="28"/>
          <w:szCs w:val="28"/>
        </w:rPr>
        <w:t>对于职业打假人而言，三到五倍的赔偿金金额</w:t>
      </w:r>
      <w:r w:rsidR="00070014">
        <w:rPr>
          <w:rFonts w:ascii="仿宋_GB2312" w:eastAsia="仿宋_GB2312" w:hint="eastAsia"/>
          <w:sz w:val="28"/>
          <w:szCs w:val="28"/>
        </w:rPr>
        <w:t>符合其心理预期，在法定赔偿金数额范围内做相应让步也有利于缓和与商家之间的矛盾</w:t>
      </w:r>
      <w:r w:rsidR="00D113A0">
        <w:rPr>
          <w:rFonts w:ascii="仿宋_GB2312" w:eastAsia="仿宋_GB2312" w:hint="eastAsia"/>
          <w:sz w:val="28"/>
          <w:szCs w:val="28"/>
        </w:rPr>
        <w:t>，</w:t>
      </w:r>
      <w:r w:rsidR="00070014" w:rsidRPr="00070014">
        <w:rPr>
          <w:rFonts w:ascii="仿宋_GB2312" w:eastAsia="仿宋_GB2312" w:hint="eastAsia"/>
          <w:sz w:val="28"/>
          <w:szCs w:val="28"/>
        </w:rPr>
        <w:t>降低诉讼成本，早日获取赔偿。</w:t>
      </w:r>
      <w:r w:rsidR="00C07889" w:rsidRPr="00070014">
        <w:rPr>
          <w:rFonts w:ascii="仿宋_GB2312" w:eastAsia="仿宋_GB2312" w:hint="eastAsia"/>
          <w:sz w:val="28"/>
          <w:szCs w:val="28"/>
        </w:rPr>
        <w:t>另外，</w:t>
      </w:r>
      <w:r w:rsidR="00370504" w:rsidRPr="00070014">
        <w:rPr>
          <w:rFonts w:ascii="仿宋_GB2312" w:eastAsia="仿宋_GB2312" w:hint="eastAsia"/>
          <w:sz w:val="28"/>
          <w:szCs w:val="28"/>
        </w:rPr>
        <w:t>平台商家一般分布于全国各地，</w:t>
      </w:r>
      <w:r w:rsidR="00070014" w:rsidRPr="00070014">
        <w:rPr>
          <w:rFonts w:ascii="仿宋_GB2312" w:eastAsia="仿宋_GB2312" w:hint="eastAsia"/>
          <w:sz w:val="28"/>
          <w:szCs w:val="28"/>
        </w:rPr>
        <w:t>我院运用的互联网诉讼平台、在线庭审等，也为减少当事人诉累</w:t>
      </w:r>
      <w:r w:rsidR="00C07889" w:rsidRPr="00070014">
        <w:rPr>
          <w:rFonts w:ascii="仿宋_GB2312" w:eastAsia="仿宋_GB2312" w:hint="eastAsia"/>
          <w:sz w:val="28"/>
          <w:szCs w:val="28"/>
        </w:rPr>
        <w:t>、最终达成和解提供了良好条件。</w:t>
      </w:r>
    </w:p>
    <w:p w:rsidR="001D00A5" w:rsidRPr="00C07889" w:rsidRDefault="00E13533" w:rsidP="00E13533">
      <w:pPr>
        <w:ind w:firstLineChars="200" w:firstLine="560"/>
        <w:rPr>
          <w:rFonts w:ascii="仿宋_GB2312" w:eastAsia="仿宋_GB2312"/>
          <w:sz w:val="28"/>
          <w:szCs w:val="28"/>
        </w:rPr>
      </w:pPr>
      <w:r w:rsidRPr="00E13533">
        <w:rPr>
          <w:rFonts w:ascii="仿宋_GB2312" w:eastAsia="仿宋_GB2312"/>
          <w:noProof/>
          <w:sz w:val="28"/>
          <w:szCs w:val="28"/>
        </w:rPr>
        <w:drawing>
          <wp:inline distT="0" distB="0" distL="0" distR="0">
            <wp:extent cx="4572000" cy="3095625"/>
            <wp:effectExtent l="19050" t="0" r="19050" b="0"/>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7889" w:rsidRPr="00C07889" w:rsidRDefault="00C07889" w:rsidP="00A11D01">
      <w:pPr>
        <w:jc w:val="center"/>
        <w:rPr>
          <w:rFonts w:ascii="仿宋_GB2312" w:eastAsia="仿宋_GB2312"/>
          <w:sz w:val="28"/>
          <w:szCs w:val="28"/>
        </w:rPr>
      </w:pPr>
      <w:r w:rsidRPr="00C07889">
        <w:rPr>
          <w:rFonts w:ascii="仿宋_GB2312" w:eastAsia="仿宋_GB2312" w:hint="eastAsia"/>
          <w:sz w:val="28"/>
          <w:szCs w:val="28"/>
        </w:rPr>
        <w:t>图表</w:t>
      </w:r>
      <w:r w:rsidR="001D00A5">
        <w:rPr>
          <w:rFonts w:ascii="仿宋_GB2312" w:eastAsia="仿宋_GB2312" w:hint="eastAsia"/>
          <w:sz w:val="28"/>
          <w:szCs w:val="28"/>
        </w:rPr>
        <w:t>6</w:t>
      </w:r>
    </w:p>
    <w:p w:rsidR="00C07889" w:rsidRPr="00107C73" w:rsidRDefault="00C07889" w:rsidP="002F1EAF">
      <w:pPr>
        <w:ind w:firstLineChars="200" w:firstLine="560"/>
        <w:rPr>
          <w:rFonts w:ascii="仿宋_GB2312" w:eastAsia="仿宋_GB2312"/>
          <w:b/>
          <w:sz w:val="28"/>
          <w:szCs w:val="28"/>
        </w:rPr>
      </w:pPr>
      <w:r w:rsidRPr="00107C73">
        <w:rPr>
          <w:rFonts w:ascii="仿宋_GB2312" w:eastAsia="仿宋_GB2312" w:hint="eastAsia"/>
          <w:b/>
          <w:sz w:val="28"/>
          <w:szCs w:val="28"/>
        </w:rPr>
        <w:t>（</w:t>
      </w:r>
      <w:r w:rsidR="00107C73" w:rsidRPr="00107C73">
        <w:rPr>
          <w:rFonts w:ascii="仿宋_GB2312" w:eastAsia="仿宋_GB2312" w:hint="eastAsia"/>
          <w:b/>
          <w:sz w:val="28"/>
          <w:szCs w:val="28"/>
        </w:rPr>
        <w:t>六</w:t>
      </w:r>
      <w:r w:rsidRPr="00107C73">
        <w:rPr>
          <w:rFonts w:ascii="仿宋_GB2312" w:eastAsia="仿宋_GB2312" w:hint="eastAsia"/>
          <w:b/>
          <w:sz w:val="28"/>
          <w:szCs w:val="28"/>
        </w:rPr>
        <w:t>）案件标的额</w:t>
      </w:r>
    </w:p>
    <w:p w:rsidR="00657210" w:rsidRPr="00C07889" w:rsidRDefault="00746F72" w:rsidP="00657210">
      <w:pPr>
        <w:ind w:firstLineChars="200" w:firstLine="560"/>
        <w:rPr>
          <w:rFonts w:ascii="仿宋_GB2312" w:eastAsia="仿宋_GB2312"/>
          <w:sz w:val="28"/>
          <w:szCs w:val="28"/>
        </w:rPr>
      </w:pPr>
      <w:r>
        <w:rPr>
          <w:rFonts w:ascii="仿宋_GB2312" w:eastAsia="仿宋_GB2312" w:hint="eastAsia"/>
          <w:sz w:val="28"/>
          <w:szCs w:val="28"/>
        </w:rPr>
        <w:t>从案件标的额来看，</w:t>
      </w:r>
      <w:r w:rsidR="00A11D01">
        <w:rPr>
          <w:rFonts w:ascii="仿宋_GB2312" w:eastAsia="仿宋_GB2312" w:hint="eastAsia"/>
          <w:sz w:val="28"/>
          <w:szCs w:val="28"/>
        </w:rPr>
        <w:t>主要集中在</w:t>
      </w:r>
      <w:r w:rsidR="00E13533">
        <w:rPr>
          <w:rFonts w:ascii="仿宋_GB2312" w:eastAsia="仿宋_GB2312" w:hint="eastAsia"/>
          <w:sz w:val="28"/>
          <w:szCs w:val="28"/>
        </w:rPr>
        <w:t>1万元</w:t>
      </w:r>
      <w:r w:rsidR="00657210">
        <w:rPr>
          <w:rFonts w:ascii="仿宋_GB2312" w:eastAsia="仿宋_GB2312" w:hint="eastAsia"/>
          <w:sz w:val="28"/>
          <w:szCs w:val="28"/>
        </w:rPr>
        <w:t>至</w:t>
      </w:r>
      <w:r w:rsidR="00A11D01">
        <w:rPr>
          <w:rFonts w:ascii="仿宋_GB2312" w:eastAsia="仿宋_GB2312" w:hint="eastAsia"/>
          <w:sz w:val="28"/>
          <w:szCs w:val="28"/>
        </w:rPr>
        <w:t>5万元</w:t>
      </w:r>
      <w:r w:rsidR="00657210">
        <w:rPr>
          <w:rFonts w:ascii="仿宋_GB2312" w:eastAsia="仿宋_GB2312" w:hint="eastAsia"/>
          <w:sz w:val="28"/>
          <w:szCs w:val="28"/>
        </w:rPr>
        <w:t>的区间</w:t>
      </w:r>
      <w:r w:rsidR="002F64E8">
        <w:rPr>
          <w:rFonts w:ascii="仿宋_GB2312" w:eastAsia="仿宋_GB2312" w:hint="eastAsia"/>
          <w:sz w:val="28"/>
          <w:szCs w:val="28"/>
        </w:rPr>
        <w:t>，这和网络零售订单金额的小额特征有关</w:t>
      </w:r>
      <w:r w:rsidR="00E13533">
        <w:rPr>
          <w:rFonts w:ascii="仿宋_GB2312" w:eastAsia="仿宋_GB2312" w:hint="eastAsia"/>
          <w:sz w:val="28"/>
          <w:szCs w:val="28"/>
        </w:rPr>
        <w:t>。</w:t>
      </w:r>
      <w:r w:rsidR="00310140">
        <w:rPr>
          <w:rFonts w:ascii="仿宋_GB2312" w:eastAsia="仿宋_GB2312" w:hint="eastAsia"/>
          <w:sz w:val="28"/>
          <w:szCs w:val="28"/>
        </w:rPr>
        <w:t>33</w:t>
      </w:r>
      <w:r w:rsidR="00E13533">
        <w:rPr>
          <w:rFonts w:ascii="仿宋_GB2312" w:eastAsia="仿宋_GB2312" w:hint="eastAsia"/>
          <w:sz w:val="28"/>
          <w:szCs w:val="28"/>
        </w:rPr>
        <w:t>0</w:t>
      </w:r>
      <w:r w:rsidR="00310140">
        <w:rPr>
          <w:rFonts w:ascii="仿宋_GB2312" w:eastAsia="仿宋_GB2312" w:hint="eastAsia"/>
          <w:sz w:val="28"/>
          <w:szCs w:val="28"/>
        </w:rPr>
        <w:t>件案件中，0</w:t>
      </w:r>
      <w:r w:rsidR="00C07889" w:rsidRPr="00C07889">
        <w:rPr>
          <w:rFonts w:ascii="仿宋_GB2312" w:eastAsia="仿宋_GB2312" w:hint="eastAsia"/>
          <w:sz w:val="28"/>
          <w:szCs w:val="28"/>
        </w:rPr>
        <w:t>-1000元（含1000元）的案件有</w:t>
      </w:r>
      <w:r w:rsidR="00551D12">
        <w:rPr>
          <w:rFonts w:ascii="仿宋_GB2312" w:eastAsia="仿宋_GB2312" w:hint="eastAsia"/>
          <w:sz w:val="28"/>
          <w:szCs w:val="28"/>
        </w:rPr>
        <w:t>4</w:t>
      </w:r>
      <w:r w:rsidR="00C07889" w:rsidRPr="00C07889">
        <w:rPr>
          <w:rFonts w:ascii="仿宋_GB2312" w:eastAsia="仿宋_GB2312" w:hint="eastAsia"/>
          <w:sz w:val="28"/>
          <w:szCs w:val="28"/>
        </w:rPr>
        <w:t>件，占</w:t>
      </w:r>
      <w:r w:rsidR="00A11D01">
        <w:rPr>
          <w:rFonts w:ascii="仿宋_GB2312" w:eastAsia="仿宋_GB2312" w:hint="eastAsia"/>
          <w:sz w:val="28"/>
          <w:szCs w:val="28"/>
        </w:rPr>
        <w:t>1.2</w:t>
      </w:r>
      <w:r w:rsidR="00C07889" w:rsidRPr="00C07889">
        <w:rPr>
          <w:rFonts w:ascii="仿宋_GB2312" w:eastAsia="仿宋_GB2312" w:hint="eastAsia"/>
          <w:sz w:val="28"/>
          <w:szCs w:val="28"/>
        </w:rPr>
        <w:t>%；1000-1万元（含1万元）的案件有</w:t>
      </w:r>
      <w:r w:rsidR="00551D12">
        <w:rPr>
          <w:rFonts w:ascii="仿宋_GB2312" w:eastAsia="仿宋_GB2312" w:hint="eastAsia"/>
          <w:sz w:val="28"/>
          <w:szCs w:val="28"/>
        </w:rPr>
        <w:t>86</w:t>
      </w:r>
      <w:r w:rsidR="00C07889" w:rsidRPr="00C07889">
        <w:rPr>
          <w:rFonts w:ascii="仿宋_GB2312" w:eastAsia="仿宋_GB2312" w:hint="eastAsia"/>
          <w:sz w:val="28"/>
          <w:szCs w:val="28"/>
        </w:rPr>
        <w:t>件，占</w:t>
      </w:r>
      <w:r w:rsidR="00A11D01">
        <w:rPr>
          <w:rFonts w:ascii="仿宋_GB2312" w:eastAsia="仿宋_GB2312" w:hint="eastAsia"/>
          <w:sz w:val="28"/>
          <w:szCs w:val="28"/>
        </w:rPr>
        <w:t>2</w:t>
      </w:r>
      <w:r w:rsidR="00E13533">
        <w:rPr>
          <w:rFonts w:ascii="仿宋_GB2312" w:eastAsia="仿宋_GB2312" w:hint="eastAsia"/>
          <w:sz w:val="28"/>
          <w:szCs w:val="28"/>
        </w:rPr>
        <w:t>6.1</w:t>
      </w:r>
      <w:r w:rsidR="00C07889" w:rsidRPr="00C07889">
        <w:rPr>
          <w:rFonts w:ascii="仿宋_GB2312" w:eastAsia="仿宋_GB2312" w:hint="eastAsia"/>
          <w:sz w:val="28"/>
          <w:szCs w:val="28"/>
        </w:rPr>
        <w:t>%；</w:t>
      </w:r>
      <w:r w:rsidR="00C07889" w:rsidRPr="00A11D01">
        <w:rPr>
          <w:rFonts w:ascii="仿宋_GB2312" w:eastAsia="仿宋_GB2312" w:hint="eastAsia"/>
          <w:sz w:val="28"/>
          <w:szCs w:val="28"/>
        </w:rPr>
        <w:t>1万元至</w:t>
      </w:r>
      <w:r w:rsidR="00450E01" w:rsidRPr="00A11D01">
        <w:rPr>
          <w:rFonts w:ascii="仿宋_GB2312" w:eastAsia="仿宋_GB2312" w:hint="eastAsia"/>
          <w:sz w:val="28"/>
          <w:szCs w:val="28"/>
        </w:rPr>
        <w:t>5万元</w:t>
      </w:r>
      <w:r w:rsidR="00A11D01">
        <w:rPr>
          <w:rFonts w:ascii="仿宋_GB2312" w:eastAsia="仿宋_GB2312" w:hint="eastAsia"/>
          <w:sz w:val="28"/>
          <w:szCs w:val="28"/>
        </w:rPr>
        <w:t>（含5万元）</w:t>
      </w:r>
      <w:r w:rsidR="00450E01" w:rsidRPr="00A11D01">
        <w:rPr>
          <w:rFonts w:ascii="仿宋_GB2312" w:eastAsia="仿宋_GB2312" w:hint="eastAsia"/>
          <w:sz w:val="28"/>
          <w:szCs w:val="28"/>
        </w:rPr>
        <w:t>的有</w:t>
      </w:r>
      <w:r w:rsidR="00A11D01">
        <w:rPr>
          <w:rFonts w:ascii="仿宋_GB2312" w:eastAsia="仿宋_GB2312" w:hint="eastAsia"/>
          <w:sz w:val="28"/>
          <w:szCs w:val="28"/>
        </w:rPr>
        <w:t>194件，占</w:t>
      </w:r>
      <w:r w:rsidR="00A11D01" w:rsidRPr="00A11D01">
        <w:rPr>
          <w:rFonts w:ascii="仿宋_GB2312" w:eastAsia="仿宋_GB2312" w:hint="eastAsia"/>
          <w:sz w:val="28"/>
          <w:szCs w:val="28"/>
        </w:rPr>
        <w:t>58.</w:t>
      </w:r>
      <w:r w:rsidR="00E13533">
        <w:rPr>
          <w:rFonts w:ascii="仿宋_GB2312" w:eastAsia="仿宋_GB2312" w:hint="eastAsia"/>
          <w:sz w:val="28"/>
          <w:szCs w:val="28"/>
        </w:rPr>
        <w:t>8</w:t>
      </w:r>
      <w:r w:rsidR="00A11D01">
        <w:rPr>
          <w:rFonts w:ascii="仿宋_GB2312" w:eastAsia="仿宋_GB2312" w:hint="eastAsia"/>
          <w:sz w:val="28"/>
          <w:szCs w:val="28"/>
        </w:rPr>
        <w:t>%；</w:t>
      </w:r>
      <w:r w:rsidR="00450E01" w:rsidRPr="00A11D01">
        <w:rPr>
          <w:rFonts w:ascii="仿宋_GB2312" w:eastAsia="仿宋_GB2312" w:hint="eastAsia"/>
          <w:sz w:val="28"/>
          <w:szCs w:val="28"/>
        </w:rPr>
        <w:t>5万元至</w:t>
      </w:r>
      <w:r w:rsidR="00C07889" w:rsidRPr="00A11D01">
        <w:rPr>
          <w:rFonts w:ascii="仿宋_GB2312" w:eastAsia="仿宋_GB2312" w:hint="eastAsia"/>
          <w:sz w:val="28"/>
          <w:szCs w:val="28"/>
        </w:rPr>
        <w:t>10万元</w:t>
      </w:r>
      <w:r w:rsidR="00A11D01">
        <w:rPr>
          <w:rFonts w:ascii="仿宋_GB2312" w:eastAsia="仿宋_GB2312" w:hint="eastAsia"/>
          <w:sz w:val="28"/>
          <w:szCs w:val="28"/>
        </w:rPr>
        <w:t>（含10万元）</w:t>
      </w:r>
      <w:r w:rsidR="00C07889" w:rsidRPr="00A11D01">
        <w:rPr>
          <w:rFonts w:ascii="仿宋_GB2312" w:eastAsia="仿宋_GB2312" w:hint="eastAsia"/>
          <w:sz w:val="28"/>
          <w:szCs w:val="28"/>
        </w:rPr>
        <w:t>的有</w:t>
      </w:r>
      <w:r w:rsidR="00450E01" w:rsidRPr="00A11D01">
        <w:rPr>
          <w:rFonts w:ascii="仿宋_GB2312" w:eastAsia="仿宋_GB2312" w:hint="eastAsia"/>
          <w:sz w:val="28"/>
          <w:szCs w:val="28"/>
        </w:rPr>
        <w:t>35</w:t>
      </w:r>
      <w:r w:rsidR="00C07889" w:rsidRPr="00A11D01">
        <w:rPr>
          <w:rFonts w:ascii="仿宋_GB2312" w:eastAsia="仿宋_GB2312" w:hint="eastAsia"/>
          <w:sz w:val="28"/>
          <w:szCs w:val="28"/>
        </w:rPr>
        <w:t>件，占</w:t>
      </w:r>
      <w:r w:rsidR="00A11D01" w:rsidRPr="00A11D01">
        <w:rPr>
          <w:rFonts w:ascii="仿宋_GB2312" w:eastAsia="仿宋_GB2312" w:hint="eastAsia"/>
          <w:sz w:val="28"/>
          <w:szCs w:val="28"/>
        </w:rPr>
        <w:t>10.</w:t>
      </w:r>
      <w:r w:rsidR="00E13533">
        <w:rPr>
          <w:rFonts w:ascii="仿宋_GB2312" w:eastAsia="仿宋_GB2312" w:hint="eastAsia"/>
          <w:sz w:val="28"/>
          <w:szCs w:val="28"/>
        </w:rPr>
        <w:t>6</w:t>
      </w:r>
      <w:r w:rsidR="00C07889" w:rsidRPr="00A11D01">
        <w:rPr>
          <w:rFonts w:ascii="仿宋_GB2312" w:eastAsia="仿宋_GB2312" w:hint="eastAsia"/>
          <w:sz w:val="28"/>
          <w:szCs w:val="28"/>
        </w:rPr>
        <w:t>%</w:t>
      </w:r>
      <w:r w:rsidR="00450E01">
        <w:rPr>
          <w:rFonts w:ascii="仿宋_GB2312" w:eastAsia="仿宋_GB2312" w:hint="eastAsia"/>
          <w:sz w:val="28"/>
          <w:szCs w:val="28"/>
        </w:rPr>
        <w:t>，10万元以上有1</w:t>
      </w:r>
      <w:r w:rsidR="00E13533">
        <w:rPr>
          <w:rFonts w:ascii="仿宋_GB2312" w:eastAsia="仿宋_GB2312" w:hint="eastAsia"/>
          <w:sz w:val="28"/>
          <w:szCs w:val="28"/>
        </w:rPr>
        <w:t>1</w:t>
      </w:r>
      <w:r w:rsidR="00450E01">
        <w:rPr>
          <w:rFonts w:ascii="仿宋_GB2312" w:eastAsia="仿宋_GB2312" w:hint="eastAsia"/>
          <w:sz w:val="28"/>
          <w:szCs w:val="28"/>
        </w:rPr>
        <w:t>件</w:t>
      </w:r>
      <w:r w:rsidR="00A11D01">
        <w:rPr>
          <w:rFonts w:ascii="仿宋_GB2312" w:eastAsia="仿宋_GB2312" w:hint="eastAsia"/>
          <w:sz w:val="28"/>
          <w:szCs w:val="28"/>
        </w:rPr>
        <w:t>，占</w:t>
      </w:r>
      <w:r w:rsidR="00E13533">
        <w:rPr>
          <w:rFonts w:ascii="仿宋_GB2312" w:eastAsia="仿宋_GB2312" w:hint="eastAsia"/>
          <w:sz w:val="28"/>
          <w:szCs w:val="28"/>
        </w:rPr>
        <w:t>3</w:t>
      </w:r>
      <w:r w:rsidR="00A11D01">
        <w:rPr>
          <w:rFonts w:ascii="仿宋_GB2312" w:eastAsia="仿宋_GB2312" w:hint="eastAsia"/>
          <w:sz w:val="28"/>
          <w:szCs w:val="28"/>
        </w:rPr>
        <w:t>.</w:t>
      </w:r>
      <w:r w:rsidR="00E13533">
        <w:rPr>
          <w:rFonts w:ascii="仿宋_GB2312" w:eastAsia="仿宋_GB2312" w:hint="eastAsia"/>
          <w:sz w:val="28"/>
          <w:szCs w:val="28"/>
        </w:rPr>
        <w:t>3</w:t>
      </w:r>
      <w:r w:rsidR="00A11D01">
        <w:rPr>
          <w:rFonts w:ascii="仿宋_GB2312" w:eastAsia="仿宋_GB2312" w:hint="eastAsia"/>
          <w:sz w:val="28"/>
          <w:szCs w:val="28"/>
        </w:rPr>
        <w:t>%</w:t>
      </w:r>
      <w:r w:rsidR="00450E01">
        <w:rPr>
          <w:rFonts w:ascii="仿宋_GB2312" w:eastAsia="仿宋_GB2312" w:hint="eastAsia"/>
          <w:sz w:val="28"/>
          <w:szCs w:val="28"/>
        </w:rPr>
        <w:t>。</w:t>
      </w:r>
      <w:r w:rsidR="00657210">
        <w:rPr>
          <w:rFonts w:ascii="仿宋_GB2312" w:eastAsia="仿宋_GB2312" w:hint="eastAsia"/>
          <w:sz w:val="28"/>
          <w:szCs w:val="28"/>
        </w:rPr>
        <w:t>（详见</w:t>
      </w:r>
      <w:r w:rsidR="00657210" w:rsidRPr="00C07889">
        <w:rPr>
          <w:rFonts w:ascii="仿宋_GB2312" w:eastAsia="仿宋_GB2312" w:hint="eastAsia"/>
          <w:sz w:val="28"/>
          <w:szCs w:val="28"/>
        </w:rPr>
        <w:t>图表</w:t>
      </w:r>
      <w:r w:rsidR="00657210">
        <w:rPr>
          <w:rFonts w:ascii="仿宋_GB2312" w:eastAsia="仿宋_GB2312" w:hint="eastAsia"/>
          <w:sz w:val="28"/>
          <w:szCs w:val="28"/>
        </w:rPr>
        <w:t>7）</w:t>
      </w:r>
    </w:p>
    <w:p w:rsidR="00C07889" w:rsidRPr="00C07889" w:rsidRDefault="00C07889" w:rsidP="00107C73">
      <w:pPr>
        <w:ind w:firstLineChars="200" w:firstLine="560"/>
        <w:rPr>
          <w:rFonts w:ascii="仿宋_GB2312" w:eastAsia="仿宋_GB2312"/>
          <w:sz w:val="28"/>
          <w:szCs w:val="28"/>
        </w:rPr>
      </w:pPr>
    </w:p>
    <w:p w:rsidR="00657210" w:rsidRDefault="00E13533" w:rsidP="00E13533">
      <w:pPr>
        <w:ind w:firstLineChars="200" w:firstLine="560"/>
        <w:rPr>
          <w:rFonts w:ascii="仿宋_GB2312" w:eastAsia="仿宋_GB2312"/>
          <w:sz w:val="28"/>
          <w:szCs w:val="28"/>
        </w:rPr>
      </w:pPr>
      <w:r w:rsidRPr="00E13533">
        <w:rPr>
          <w:rFonts w:ascii="仿宋_GB2312" w:eastAsia="仿宋_GB2312"/>
          <w:noProof/>
          <w:sz w:val="28"/>
          <w:szCs w:val="28"/>
        </w:rPr>
        <w:drawing>
          <wp:inline distT="0" distB="0" distL="0" distR="0">
            <wp:extent cx="4656467" cy="2570672"/>
            <wp:effectExtent l="19050" t="0" r="10783" b="1078"/>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7889" w:rsidRPr="00C07889" w:rsidRDefault="00C07889" w:rsidP="00C828E9">
      <w:pPr>
        <w:ind w:firstLineChars="200" w:firstLine="560"/>
        <w:jc w:val="center"/>
        <w:rPr>
          <w:rFonts w:ascii="仿宋_GB2312" w:eastAsia="仿宋_GB2312"/>
          <w:sz w:val="28"/>
          <w:szCs w:val="28"/>
        </w:rPr>
      </w:pPr>
      <w:r w:rsidRPr="00C07889">
        <w:rPr>
          <w:rFonts w:ascii="仿宋_GB2312" w:eastAsia="仿宋_GB2312" w:hint="eastAsia"/>
          <w:sz w:val="28"/>
          <w:szCs w:val="28"/>
        </w:rPr>
        <w:t>图表</w:t>
      </w:r>
      <w:r w:rsidR="00657210">
        <w:rPr>
          <w:rFonts w:ascii="仿宋_GB2312" w:eastAsia="仿宋_GB2312" w:hint="eastAsia"/>
          <w:sz w:val="28"/>
          <w:szCs w:val="28"/>
        </w:rPr>
        <w:t>7</w:t>
      </w:r>
    </w:p>
    <w:p w:rsidR="00C07889" w:rsidRPr="00107C73" w:rsidRDefault="00C07889" w:rsidP="002F1EAF">
      <w:pPr>
        <w:ind w:firstLineChars="200" w:firstLine="560"/>
        <w:rPr>
          <w:rFonts w:ascii="仿宋_GB2312" w:eastAsia="仿宋_GB2312"/>
          <w:b/>
          <w:sz w:val="28"/>
          <w:szCs w:val="28"/>
        </w:rPr>
      </w:pPr>
      <w:r w:rsidRPr="00657210">
        <w:rPr>
          <w:rFonts w:ascii="仿宋_GB2312" w:eastAsia="仿宋_GB2312" w:hint="eastAsia"/>
          <w:b/>
          <w:sz w:val="28"/>
          <w:szCs w:val="28"/>
        </w:rPr>
        <w:t>（</w:t>
      </w:r>
      <w:r w:rsidR="00107C73" w:rsidRPr="00657210">
        <w:rPr>
          <w:rFonts w:ascii="仿宋_GB2312" w:eastAsia="仿宋_GB2312" w:hint="eastAsia"/>
          <w:b/>
          <w:sz w:val="28"/>
          <w:szCs w:val="28"/>
        </w:rPr>
        <w:t>七</w:t>
      </w:r>
      <w:r w:rsidRPr="00657210">
        <w:rPr>
          <w:rFonts w:ascii="仿宋_GB2312" w:eastAsia="仿宋_GB2312" w:hint="eastAsia"/>
          <w:b/>
          <w:sz w:val="28"/>
          <w:szCs w:val="28"/>
        </w:rPr>
        <w:t>）律师参与率</w:t>
      </w:r>
    </w:p>
    <w:p w:rsidR="00C07889" w:rsidRDefault="000A4E75" w:rsidP="00107C73">
      <w:pPr>
        <w:ind w:firstLineChars="200" w:firstLine="560"/>
        <w:rPr>
          <w:rFonts w:ascii="仿宋_GB2312" w:eastAsia="仿宋_GB2312"/>
          <w:sz w:val="28"/>
          <w:szCs w:val="28"/>
        </w:rPr>
      </w:pPr>
      <w:r>
        <w:rPr>
          <w:rFonts w:ascii="仿宋_GB2312" w:eastAsia="仿宋_GB2312" w:hint="eastAsia"/>
          <w:sz w:val="28"/>
          <w:szCs w:val="28"/>
        </w:rPr>
        <w:t>从律师参与率来看，</w:t>
      </w:r>
      <w:r w:rsidR="00C07889" w:rsidRPr="00C07889">
        <w:rPr>
          <w:rFonts w:ascii="仿宋_GB2312" w:eastAsia="仿宋_GB2312" w:hint="eastAsia"/>
          <w:sz w:val="28"/>
          <w:szCs w:val="28"/>
        </w:rPr>
        <w:t>律师参与</w:t>
      </w:r>
      <w:r w:rsidR="001C434B">
        <w:rPr>
          <w:rFonts w:ascii="仿宋_GB2312" w:eastAsia="仿宋_GB2312" w:hint="eastAsia"/>
          <w:sz w:val="28"/>
          <w:szCs w:val="28"/>
        </w:rPr>
        <w:t>涉职业打假</w:t>
      </w:r>
      <w:r w:rsidR="00C07889" w:rsidRPr="00C07889">
        <w:rPr>
          <w:rFonts w:ascii="仿宋_GB2312" w:eastAsia="仿宋_GB2312" w:hint="eastAsia"/>
          <w:sz w:val="28"/>
          <w:szCs w:val="28"/>
        </w:rPr>
        <w:t>网络购物合同纠纷案件的比重正在逐年攀升</w:t>
      </w:r>
      <w:r w:rsidR="007A0F76">
        <w:rPr>
          <w:rFonts w:ascii="仿宋_GB2312" w:eastAsia="仿宋_GB2312" w:hint="eastAsia"/>
          <w:sz w:val="28"/>
          <w:szCs w:val="28"/>
        </w:rPr>
        <w:t>，反映出打假人法治意识的提升，比较注重合法维权，希望在法律轨道内解决与商户的纠纷</w:t>
      </w:r>
      <w:r w:rsidR="00C07889" w:rsidRPr="00C07889">
        <w:rPr>
          <w:rFonts w:ascii="仿宋_GB2312" w:eastAsia="仿宋_GB2312" w:hint="eastAsia"/>
          <w:sz w:val="28"/>
          <w:szCs w:val="28"/>
        </w:rPr>
        <w:t>。2017年</w:t>
      </w:r>
      <w:r w:rsidR="00657210">
        <w:rPr>
          <w:rFonts w:ascii="仿宋_GB2312" w:eastAsia="仿宋_GB2312" w:hint="eastAsia"/>
          <w:sz w:val="28"/>
          <w:szCs w:val="28"/>
        </w:rPr>
        <w:t>审结</w:t>
      </w:r>
      <w:r w:rsidR="00C07889" w:rsidRPr="00C07889">
        <w:rPr>
          <w:rFonts w:ascii="仿宋_GB2312" w:eastAsia="仿宋_GB2312" w:hint="eastAsia"/>
          <w:sz w:val="28"/>
          <w:szCs w:val="28"/>
        </w:rPr>
        <w:t>的</w:t>
      </w:r>
      <w:r w:rsidR="001C434B" w:rsidRPr="007A0F76">
        <w:rPr>
          <w:rFonts w:ascii="仿宋_GB2312" w:eastAsia="仿宋_GB2312" w:hint="eastAsia"/>
          <w:sz w:val="28"/>
          <w:szCs w:val="28"/>
        </w:rPr>
        <w:t>1</w:t>
      </w:r>
      <w:r w:rsidR="002F64E8" w:rsidRPr="007A0F76">
        <w:rPr>
          <w:rFonts w:ascii="仿宋_GB2312" w:eastAsia="仿宋_GB2312" w:hint="eastAsia"/>
          <w:sz w:val="28"/>
          <w:szCs w:val="28"/>
        </w:rPr>
        <w:t>9</w:t>
      </w:r>
      <w:r w:rsidR="00C07889" w:rsidRPr="007A0F76">
        <w:rPr>
          <w:rFonts w:ascii="仿宋_GB2312" w:eastAsia="仿宋_GB2312" w:hint="eastAsia"/>
          <w:sz w:val="28"/>
          <w:szCs w:val="28"/>
        </w:rPr>
        <w:t>件</w:t>
      </w:r>
      <w:r w:rsidR="00C07889" w:rsidRPr="00C07889">
        <w:rPr>
          <w:rFonts w:ascii="仿宋_GB2312" w:eastAsia="仿宋_GB2312" w:hint="eastAsia"/>
          <w:sz w:val="28"/>
          <w:szCs w:val="28"/>
        </w:rPr>
        <w:t>案件中，原告委托律师的有</w:t>
      </w:r>
      <w:r w:rsidR="0034730D">
        <w:rPr>
          <w:rFonts w:ascii="仿宋_GB2312" w:eastAsia="仿宋_GB2312" w:hint="eastAsia"/>
          <w:sz w:val="28"/>
          <w:szCs w:val="28"/>
        </w:rPr>
        <w:t>3</w:t>
      </w:r>
      <w:r w:rsidR="00C07889" w:rsidRPr="00C07889">
        <w:rPr>
          <w:rFonts w:ascii="仿宋_GB2312" w:eastAsia="仿宋_GB2312" w:hint="eastAsia"/>
          <w:sz w:val="28"/>
          <w:szCs w:val="28"/>
        </w:rPr>
        <w:t>件，2018年</w:t>
      </w:r>
      <w:r w:rsidR="00657210">
        <w:rPr>
          <w:rFonts w:ascii="仿宋_GB2312" w:eastAsia="仿宋_GB2312" w:hint="eastAsia"/>
          <w:sz w:val="28"/>
          <w:szCs w:val="28"/>
        </w:rPr>
        <w:t>审结</w:t>
      </w:r>
      <w:r w:rsidR="00C07889" w:rsidRPr="00C07889">
        <w:rPr>
          <w:rFonts w:ascii="仿宋_GB2312" w:eastAsia="仿宋_GB2312" w:hint="eastAsia"/>
          <w:sz w:val="28"/>
          <w:szCs w:val="28"/>
        </w:rPr>
        <w:t>的</w:t>
      </w:r>
      <w:r w:rsidR="00633352">
        <w:rPr>
          <w:rFonts w:ascii="仿宋_GB2312" w:eastAsia="仿宋_GB2312" w:hint="eastAsia"/>
          <w:sz w:val="28"/>
          <w:szCs w:val="28"/>
        </w:rPr>
        <w:t>9</w:t>
      </w:r>
      <w:r w:rsidR="002F64E8">
        <w:rPr>
          <w:rFonts w:ascii="仿宋_GB2312" w:eastAsia="仿宋_GB2312" w:hint="eastAsia"/>
          <w:sz w:val="28"/>
          <w:szCs w:val="28"/>
        </w:rPr>
        <w:t>2</w:t>
      </w:r>
      <w:r w:rsidR="00C07889" w:rsidRPr="00C07889">
        <w:rPr>
          <w:rFonts w:ascii="仿宋_GB2312" w:eastAsia="仿宋_GB2312" w:hint="eastAsia"/>
          <w:sz w:val="28"/>
          <w:szCs w:val="28"/>
        </w:rPr>
        <w:t>件案件中，原告委托律师的有</w:t>
      </w:r>
      <w:r w:rsidR="002F64E8">
        <w:rPr>
          <w:rFonts w:ascii="仿宋_GB2312" w:eastAsia="仿宋_GB2312" w:hint="eastAsia"/>
          <w:sz w:val="28"/>
          <w:szCs w:val="28"/>
        </w:rPr>
        <w:t>5</w:t>
      </w:r>
      <w:r w:rsidR="00C07889" w:rsidRPr="00C07889">
        <w:rPr>
          <w:rFonts w:ascii="仿宋_GB2312" w:eastAsia="仿宋_GB2312" w:hint="eastAsia"/>
          <w:sz w:val="28"/>
          <w:szCs w:val="28"/>
        </w:rPr>
        <w:t>件，2019年</w:t>
      </w:r>
      <w:r w:rsidR="00657210">
        <w:rPr>
          <w:rFonts w:ascii="仿宋_GB2312" w:eastAsia="仿宋_GB2312" w:hint="eastAsia"/>
          <w:sz w:val="28"/>
          <w:szCs w:val="28"/>
        </w:rPr>
        <w:t>审结</w:t>
      </w:r>
      <w:r w:rsidR="00C07889" w:rsidRPr="00C07889">
        <w:rPr>
          <w:rFonts w:ascii="仿宋_GB2312" w:eastAsia="仿宋_GB2312" w:hint="eastAsia"/>
          <w:sz w:val="28"/>
          <w:szCs w:val="28"/>
        </w:rPr>
        <w:t>的</w:t>
      </w:r>
      <w:r w:rsidR="00657210" w:rsidRPr="007A0F76">
        <w:rPr>
          <w:rFonts w:ascii="仿宋_GB2312" w:eastAsia="仿宋_GB2312" w:hint="eastAsia"/>
          <w:sz w:val="28"/>
          <w:szCs w:val="28"/>
        </w:rPr>
        <w:t>2</w:t>
      </w:r>
      <w:r w:rsidR="002F64E8" w:rsidRPr="007A0F76">
        <w:rPr>
          <w:rFonts w:ascii="仿宋_GB2312" w:eastAsia="仿宋_GB2312" w:hint="eastAsia"/>
          <w:sz w:val="28"/>
          <w:szCs w:val="28"/>
        </w:rPr>
        <w:t>19</w:t>
      </w:r>
      <w:r w:rsidR="00C07889" w:rsidRPr="007A0F76">
        <w:rPr>
          <w:rFonts w:ascii="仿宋_GB2312" w:eastAsia="仿宋_GB2312" w:hint="eastAsia"/>
          <w:sz w:val="28"/>
          <w:szCs w:val="28"/>
        </w:rPr>
        <w:t>件</w:t>
      </w:r>
      <w:r w:rsidR="00C07889" w:rsidRPr="00C07889">
        <w:rPr>
          <w:rFonts w:ascii="仿宋_GB2312" w:eastAsia="仿宋_GB2312" w:hint="eastAsia"/>
          <w:sz w:val="28"/>
          <w:szCs w:val="28"/>
        </w:rPr>
        <w:t>案件中，原告委托律师的有</w:t>
      </w:r>
      <w:r w:rsidR="002F64E8">
        <w:rPr>
          <w:rFonts w:ascii="仿宋_GB2312" w:eastAsia="仿宋_GB2312" w:hint="eastAsia"/>
          <w:sz w:val="28"/>
          <w:szCs w:val="28"/>
        </w:rPr>
        <w:t>48</w:t>
      </w:r>
      <w:r w:rsidR="00C07889" w:rsidRPr="00C07889">
        <w:rPr>
          <w:rFonts w:ascii="仿宋_GB2312" w:eastAsia="仿宋_GB2312" w:hint="eastAsia"/>
          <w:sz w:val="28"/>
          <w:szCs w:val="28"/>
        </w:rPr>
        <w:t>件。</w:t>
      </w:r>
      <w:r w:rsidR="00633352">
        <w:rPr>
          <w:rFonts w:ascii="仿宋_GB2312" w:eastAsia="仿宋_GB2312" w:hint="eastAsia"/>
          <w:sz w:val="28"/>
          <w:szCs w:val="28"/>
        </w:rPr>
        <w:t>（详见图表8）</w:t>
      </w:r>
    </w:p>
    <w:p w:rsidR="00DF0F2C" w:rsidRDefault="007A0F76" w:rsidP="007A0F76">
      <w:pPr>
        <w:ind w:firstLineChars="200" w:firstLine="560"/>
        <w:rPr>
          <w:rFonts w:ascii="仿宋_GB2312" w:eastAsia="仿宋_GB2312"/>
          <w:sz w:val="28"/>
          <w:szCs w:val="28"/>
        </w:rPr>
      </w:pPr>
      <w:r w:rsidRPr="007A0F76">
        <w:rPr>
          <w:rFonts w:ascii="仿宋_GB2312" w:eastAsia="仿宋_GB2312"/>
          <w:noProof/>
          <w:sz w:val="28"/>
          <w:szCs w:val="28"/>
        </w:rPr>
        <w:lastRenderedPageBreak/>
        <w:drawing>
          <wp:inline distT="0" distB="0" distL="0" distR="0">
            <wp:extent cx="4572000" cy="2743200"/>
            <wp:effectExtent l="19050" t="0" r="19050" b="0"/>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7889" w:rsidRPr="00C07889" w:rsidRDefault="00C07889" w:rsidP="00F81218">
      <w:pPr>
        <w:jc w:val="center"/>
        <w:rPr>
          <w:rFonts w:ascii="仿宋_GB2312" w:eastAsia="仿宋_GB2312"/>
          <w:sz w:val="28"/>
          <w:szCs w:val="28"/>
        </w:rPr>
      </w:pPr>
      <w:r w:rsidRPr="00C07889">
        <w:rPr>
          <w:rFonts w:ascii="仿宋_GB2312" w:eastAsia="仿宋_GB2312" w:hint="eastAsia"/>
          <w:sz w:val="28"/>
          <w:szCs w:val="28"/>
        </w:rPr>
        <w:t>图表</w:t>
      </w:r>
      <w:r w:rsidR="00633352">
        <w:rPr>
          <w:rFonts w:ascii="仿宋_GB2312" w:eastAsia="仿宋_GB2312" w:hint="eastAsia"/>
          <w:sz w:val="28"/>
          <w:szCs w:val="28"/>
        </w:rPr>
        <w:t>8</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二、案件主要特征</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（一）抱团打假现象突出</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近年来，职业打假群体由个人单打独斗逐步向团体化、专业化发展。团体成员之间身份关系紧密，以夫妻、亲属、同乡关系居多，成员户籍地、居住地往往相近或相同,收货地址集中</w:t>
      </w:r>
      <w:r w:rsidR="000346C5">
        <w:rPr>
          <w:rFonts w:ascii="仿宋_GB2312" w:eastAsia="仿宋_GB2312" w:hint="eastAsia"/>
          <w:sz w:val="28"/>
          <w:szCs w:val="28"/>
        </w:rPr>
        <w:t>于同一街道、乡镇</w:t>
      </w:r>
      <w:r>
        <w:rPr>
          <w:rFonts w:ascii="仿宋_GB2312" w:eastAsia="仿宋_GB2312" w:hint="eastAsia"/>
          <w:sz w:val="28"/>
          <w:szCs w:val="28"/>
        </w:rPr>
        <w:t>。团体内信息资源共享互通，</w:t>
      </w:r>
      <w:r w:rsidR="000346C5">
        <w:rPr>
          <w:rFonts w:ascii="仿宋_GB2312" w:eastAsia="仿宋_GB2312" w:hint="eastAsia"/>
          <w:sz w:val="28"/>
          <w:szCs w:val="28"/>
        </w:rPr>
        <w:t>存在</w:t>
      </w:r>
      <w:r>
        <w:rPr>
          <w:rFonts w:ascii="仿宋_GB2312" w:eastAsia="仿宋_GB2312" w:hint="eastAsia"/>
          <w:sz w:val="28"/>
          <w:szCs w:val="28"/>
        </w:rPr>
        <w:t>打假商品类型趋同，委托同一律师提起诉讼</w:t>
      </w:r>
      <w:r w:rsidR="000346C5">
        <w:rPr>
          <w:rFonts w:ascii="仿宋_GB2312" w:eastAsia="仿宋_GB2312" w:hint="eastAsia"/>
          <w:sz w:val="28"/>
          <w:szCs w:val="28"/>
        </w:rPr>
        <w:t>的现象</w:t>
      </w:r>
      <w:r>
        <w:rPr>
          <w:rFonts w:ascii="仿宋_GB2312" w:eastAsia="仿宋_GB2312" w:hint="eastAsia"/>
          <w:sz w:val="28"/>
          <w:szCs w:val="28"/>
        </w:rPr>
        <w:t>。抱团打假的逐利目的明显，多采取同一商品多次下单、针对同一店铺用不同账号反复下单等方法，以提高货款金额、增加索赔额度、获得更大收益。</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值得注意的是，个别打假人为了扩大收益，存在组建微信群、开门收徒、交流打假经验、提供入行培训等现象，甚至抱有侥幸和投机心理，存在作假造假、敲诈勒索之嫌。这种抱团打假的做法让职业打假人游走于合法维权和违法犯罪的边缘地带，亟需给予一定的规制和正向引导。</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lastRenderedPageBreak/>
        <w:t>（二）低成本打假现象集中</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商品有无实质上的质量问题，往往需要经过检测、鉴定等环节，程序相对专业繁琐，耗费时间长，打假成本较高。而商品无中文标签、产品说明、未取得行政审批手续等方面的瑕疵，由于取证相对容易、举证责任在商家一方等原因，打假的时间和经济成本较低，从而受到打假者青睐。近些年，职业打假群体开始涌入</w:t>
      </w:r>
      <w:r w:rsidR="000346C5">
        <w:rPr>
          <w:rFonts w:ascii="仿宋_GB2312" w:eastAsia="仿宋_GB2312" w:hint="eastAsia"/>
          <w:sz w:val="28"/>
          <w:szCs w:val="28"/>
        </w:rPr>
        <w:t>网络</w:t>
      </w:r>
      <w:r>
        <w:rPr>
          <w:rFonts w:ascii="仿宋_GB2312" w:eastAsia="仿宋_GB2312" w:hint="eastAsia"/>
          <w:sz w:val="28"/>
          <w:szCs w:val="28"/>
        </w:rPr>
        <w:t>海外代购的食品药品领域，挑选无中文标签、无检验检疫证明、无许可文件等形式要件存在瑕疵的进口商品进行打假。</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上述现象造成职业打假人过度追逐于产品质量安全形式要件上的完整性，而忽略了对产品实质安全性的关注，对真正社会危害较大的假冒伪劣产品及非法经营主体打击效果并不明显。</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（三）电商平台管理责任争议凸显</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司法实践中，职业打假人在起诉商家的同时，往往</w:t>
      </w:r>
      <w:r w:rsidR="00DD4414">
        <w:rPr>
          <w:rFonts w:ascii="仿宋_GB2312" w:eastAsia="仿宋_GB2312" w:hint="eastAsia"/>
          <w:sz w:val="28"/>
          <w:szCs w:val="28"/>
        </w:rPr>
        <w:t>一并</w:t>
      </w:r>
      <w:r>
        <w:rPr>
          <w:rFonts w:ascii="仿宋_GB2312" w:eastAsia="仿宋_GB2312" w:hint="eastAsia"/>
          <w:sz w:val="28"/>
          <w:szCs w:val="28"/>
        </w:rPr>
        <w:t>起诉电商平台就其未尽管理职责承担相应责任</w:t>
      </w:r>
      <w:r w:rsidR="00DD4414">
        <w:rPr>
          <w:rFonts w:ascii="仿宋_GB2312" w:eastAsia="仿宋_GB2312" w:hint="eastAsia"/>
          <w:sz w:val="28"/>
          <w:szCs w:val="28"/>
        </w:rPr>
        <w:t>。要求平台承担责任的</w:t>
      </w:r>
      <w:r>
        <w:rPr>
          <w:rFonts w:ascii="仿宋_GB2312" w:eastAsia="仿宋_GB2312" w:hint="eastAsia"/>
          <w:sz w:val="28"/>
          <w:szCs w:val="28"/>
        </w:rPr>
        <w:t>理由</w:t>
      </w:r>
      <w:r w:rsidR="00DD4414">
        <w:rPr>
          <w:rFonts w:ascii="仿宋_GB2312" w:eastAsia="仿宋_GB2312" w:hint="eastAsia"/>
          <w:sz w:val="28"/>
          <w:szCs w:val="28"/>
        </w:rPr>
        <w:t>主要有：平台未尽到</w:t>
      </w:r>
      <w:r>
        <w:rPr>
          <w:rFonts w:ascii="仿宋_GB2312" w:eastAsia="仿宋_GB2312" w:hint="eastAsia"/>
          <w:sz w:val="28"/>
          <w:szCs w:val="28"/>
        </w:rPr>
        <w:t>《消费者权益保护法》及《电子商务法》等明确规定的审核、</w:t>
      </w:r>
      <w:r w:rsidR="00DD4414">
        <w:rPr>
          <w:rFonts w:ascii="仿宋_GB2312" w:eastAsia="仿宋_GB2312" w:hint="eastAsia"/>
          <w:sz w:val="28"/>
          <w:szCs w:val="28"/>
        </w:rPr>
        <w:t>披露</w:t>
      </w:r>
      <w:r>
        <w:rPr>
          <w:rFonts w:ascii="仿宋_GB2312" w:eastAsia="仿宋_GB2312" w:hint="eastAsia"/>
          <w:sz w:val="28"/>
          <w:szCs w:val="28"/>
        </w:rPr>
        <w:t>、安全保障</w:t>
      </w:r>
      <w:r w:rsidR="00DD4414">
        <w:rPr>
          <w:rFonts w:ascii="仿宋_GB2312" w:eastAsia="仿宋_GB2312" w:hint="eastAsia"/>
          <w:sz w:val="28"/>
          <w:szCs w:val="28"/>
        </w:rPr>
        <w:t>等</w:t>
      </w:r>
      <w:r>
        <w:rPr>
          <w:rFonts w:ascii="仿宋_GB2312" w:eastAsia="仿宋_GB2312" w:hint="eastAsia"/>
          <w:sz w:val="28"/>
          <w:szCs w:val="28"/>
        </w:rPr>
        <w:t>义务</w:t>
      </w:r>
      <w:r w:rsidR="00DD4414">
        <w:rPr>
          <w:rFonts w:ascii="仿宋_GB2312" w:eastAsia="仿宋_GB2312" w:hint="eastAsia"/>
          <w:sz w:val="28"/>
          <w:szCs w:val="28"/>
        </w:rPr>
        <w:t>；</w:t>
      </w:r>
      <w:r>
        <w:rPr>
          <w:rFonts w:ascii="仿宋_GB2312" w:eastAsia="仿宋_GB2312" w:hint="eastAsia"/>
          <w:sz w:val="28"/>
          <w:szCs w:val="28"/>
        </w:rPr>
        <w:t>未督促商家办理市场主体信息登记</w:t>
      </w:r>
      <w:r w:rsidR="00DD4414">
        <w:rPr>
          <w:rFonts w:ascii="仿宋_GB2312" w:eastAsia="仿宋_GB2312" w:hint="eastAsia"/>
          <w:sz w:val="28"/>
          <w:szCs w:val="28"/>
        </w:rPr>
        <w:t>；未督促商家在店铺首页公示商家信息；未</w:t>
      </w:r>
      <w:r>
        <w:rPr>
          <w:rFonts w:ascii="仿宋_GB2312" w:eastAsia="仿宋_GB2312" w:hint="eastAsia"/>
          <w:sz w:val="28"/>
          <w:szCs w:val="28"/>
        </w:rPr>
        <w:t>对我国禁止进口的商品</w:t>
      </w:r>
      <w:r w:rsidR="00DD4414">
        <w:rPr>
          <w:rFonts w:ascii="仿宋_GB2312" w:eastAsia="仿宋_GB2312" w:hint="eastAsia"/>
          <w:sz w:val="28"/>
          <w:szCs w:val="28"/>
        </w:rPr>
        <w:t>在上架前</w:t>
      </w:r>
      <w:r>
        <w:rPr>
          <w:rFonts w:ascii="仿宋_GB2312" w:eastAsia="仿宋_GB2312" w:hint="eastAsia"/>
          <w:sz w:val="28"/>
          <w:szCs w:val="28"/>
        </w:rPr>
        <w:t>尽到</w:t>
      </w:r>
      <w:r w:rsidR="0060173D">
        <w:rPr>
          <w:rFonts w:ascii="仿宋_GB2312" w:eastAsia="仿宋_GB2312" w:hint="eastAsia"/>
          <w:sz w:val="28"/>
          <w:szCs w:val="28"/>
        </w:rPr>
        <w:t>审核</w:t>
      </w:r>
      <w:r>
        <w:rPr>
          <w:rFonts w:ascii="仿宋_GB2312" w:eastAsia="仿宋_GB2312" w:hint="eastAsia"/>
          <w:sz w:val="28"/>
          <w:szCs w:val="28"/>
        </w:rPr>
        <w:t>义务</w:t>
      </w:r>
      <w:r w:rsidR="00DD4414">
        <w:rPr>
          <w:rFonts w:ascii="仿宋_GB2312" w:eastAsia="仿宋_GB2312" w:hint="eastAsia"/>
          <w:sz w:val="28"/>
          <w:szCs w:val="28"/>
        </w:rPr>
        <w:t>等。</w:t>
      </w:r>
    </w:p>
    <w:p w:rsidR="00A518FC" w:rsidRDefault="00A518FC" w:rsidP="00BC7D64">
      <w:pPr>
        <w:ind w:firstLineChars="200" w:firstLine="560"/>
        <w:rPr>
          <w:rFonts w:ascii="仿宋_GB2312" w:eastAsia="仿宋_GB2312"/>
          <w:sz w:val="28"/>
          <w:szCs w:val="28"/>
        </w:rPr>
      </w:pPr>
      <w:r>
        <w:rPr>
          <w:rFonts w:ascii="仿宋_GB2312" w:eastAsia="仿宋_GB2312" w:hint="eastAsia"/>
          <w:sz w:val="28"/>
          <w:szCs w:val="28"/>
        </w:rPr>
        <w:t>职业打假人要求</w:t>
      </w:r>
      <w:r w:rsidR="00AC4BF5">
        <w:rPr>
          <w:rFonts w:ascii="仿宋_GB2312" w:eastAsia="仿宋_GB2312" w:hint="eastAsia"/>
          <w:sz w:val="28"/>
          <w:szCs w:val="28"/>
        </w:rPr>
        <w:t>电商</w:t>
      </w:r>
      <w:r>
        <w:rPr>
          <w:rFonts w:ascii="仿宋_GB2312" w:eastAsia="仿宋_GB2312" w:hint="eastAsia"/>
          <w:sz w:val="28"/>
          <w:szCs w:val="28"/>
        </w:rPr>
        <w:t>平台承担责任的目的</w:t>
      </w:r>
      <w:r w:rsidR="00BC7D64">
        <w:rPr>
          <w:rFonts w:ascii="仿宋_GB2312" w:eastAsia="仿宋_GB2312" w:hint="eastAsia"/>
          <w:sz w:val="28"/>
          <w:szCs w:val="28"/>
        </w:rPr>
        <w:t>虽然有出于诉讼管辖便利、赔偿金额履行保障等方面的考虑，</w:t>
      </w:r>
      <w:r>
        <w:rPr>
          <w:rFonts w:ascii="仿宋_GB2312" w:eastAsia="仿宋_GB2312" w:hint="eastAsia"/>
          <w:sz w:val="28"/>
          <w:szCs w:val="28"/>
        </w:rPr>
        <w:t>但同时</w:t>
      </w:r>
      <w:r w:rsidR="00BC7D64">
        <w:rPr>
          <w:rFonts w:ascii="仿宋_GB2312" w:eastAsia="仿宋_GB2312" w:hint="eastAsia"/>
          <w:sz w:val="28"/>
          <w:szCs w:val="28"/>
        </w:rPr>
        <w:t>我们</w:t>
      </w:r>
      <w:r>
        <w:rPr>
          <w:rFonts w:ascii="仿宋_GB2312" w:eastAsia="仿宋_GB2312" w:hint="eastAsia"/>
          <w:sz w:val="28"/>
          <w:szCs w:val="28"/>
        </w:rPr>
        <w:t>也应注意到网购消费者往往系基于对电商平台的信赖而选择通过平台购买商品，尤其是知名电商平台，这种信赖由此也催生出网购消费者对平台管理职责</w:t>
      </w:r>
      <w:r>
        <w:rPr>
          <w:rFonts w:ascii="仿宋_GB2312" w:eastAsia="仿宋_GB2312" w:hint="eastAsia"/>
          <w:sz w:val="28"/>
          <w:szCs w:val="28"/>
        </w:rPr>
        <w:lastRenderedPageBreak/>
        <w:t>的强烈需求。如何落实平台责任，厘清平台管理的边界，平衡各方利益，需要通过司法实践进一步回应。</w:t>
      </w:r>
    </w:p>
    <w:p w:rsidR="0039576C" w:rsidRDefault="0039576C" w:rsidP="00A518FC">
      <w:pPr>
        <w:ind w:firstLineChars="200" w:firstLine="420"/>
        <w:rPr>
          <w:rFonts w:ascii="仿宋_GB2312" w:eastAsia="仿宋_GB2312"/>
          <w:sz w:val="28"/>
          <w:szCs w:val="28"/>
        </w:rPr>
      </w:pPr>
      <w:r>
        <w:t xml:space="preserve"> </w:t>
      </w:r>
      <w:r>
        <w:rPr>
          <w:rFonts w:ascii="仿宋_GB2312" w:eastAsia="仿宋_GB2312" w:hint="eastAsia"/>
          <w:b/>
          <w:sz w:val="28"/>
          <w:szCs w:val="28"/>
        </w:rPr>
        <w:t>（四）商家与职业打假人博弈激烈</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为了应对愈演愈烈的职业打假</w:t>
      </w:r>
      <w:r w:rsidR="00826182">
        <w:rPr>
          <w:rFonts w:ascii="仿宋_GB2312" w:eastAsia="仿宋_GB2312" w:hint="eastAsia"/>
          <w:sz w:val="28"/>
          <w:szCs w:val="28"/>
        </w:rPr>
        <w:t>行为</w:t>
      </w:r>
      <w:r>
        <w:rPr>
          <w:rFonts w:ascii="仿宋_GB2312" w:eastAsia="仿宋_GB2312" w:hint="eastAsia"/>
          <w:sz w:val="28"/>
          <w:szCs w:val="28"/>
        </w:rPr>
        <w:t>，网络平台商家抱团维权现象亦随之出现</w:t>
      </w:r>
      <w:r w:rsidR="00826182">
        <w:rPr>
          <w:rFonts w:ascii="仿宋_GB2312" w:eastAsia="仿宋_GB2312" w:hint="eastAsia"/>
          <w:sz w:val="28"/>
          <w:szCs w:val="28"/>
        </w:rPr>
        <w:t>。</w:t>
      </w:r>
      <w:r>
        <w:rPr>
          <w:rFonts w:ascii="仿宋_GB2312" w:eastAsia="仿宋_GB2312" w:hint="eastAsia"/>
          <w:sz w:val="28"/>
          <w:szCs w:val="28"/>
        </w:rPr>
        <w:t>他们从原先消极的躲避、拖延应对等，开始向积极举证答辩、主动谈判和解转变。在管辖、商品详情介绍方面采取了一系列应对措施，如在店铺页面显著位置事先告知管辖条款，避免被四处打假；主动在商品详情页公布商品瑕疵信息；事先说明商品为海外代购无中文标签并出示境外购买凭证；发货之前通过在线聊天软件再次告知购买者商品具体情况及管辖条款等等。</w:t>
      </w:r>
    </w:p>
    <w:p w:rsidR="0039576C" w:rsidRDefault="0039576C" w:rsidP="00826182">
      <w:pPr>
        <w:ind w:firstLineChars="200" w:firstLine="560"/>
        <w:rPr>
          <w:rFonts w:ascii="仿宋_GB2312" w:eastAsia="仿宋_GB2312"/>
          <w:sz w:val="28"/>
          <w:szCs w:val="28"/>
        </w:rPr>
      </w:pPr>
      <w:r>
        <w:rPr>
          <w:rFonts w:ascii="仿宋_GB2312" w:eastAsia="仿宋_GB2312" w:hint="eastAsia"/>
          <w:sz w:val="28"/>
          <w:szCs w:val="28"/>
        </w:rPr>
        <w:t>网络平台商家所采取的这些措施，系</w:t>
      </w:r>
      <w:r w:rsidR="00826182">
        <w:rPr>
          <w:rFonts w:ascii="仿宋_GB2312" w:eastAsia="仿宋_GB2312" w:hint="eastAsia"/>
          <w:sz w:val="28"/>
          <w:szCs w:val="28"/>
        </w:rPr>
        <w:t>出于避免被追究惩罚性赔偿的考虑，体现的是与打假者之间的不断博弈。但</w:t>
      </w:r>
      <w:r>
        <w:rPr>
          <w:rFonts w:ascii="仿宋_GB2312" w:eastAsia="仿宋_GB2312" w:hint="eastAsia"/>
          <w:sz w:val="28"/>
          <w:szCs w:val="28"/>
        </w:rPr>
        <w:t>此类操作一定程度上也压缩了三无产品、假冒伪劣商品的生存空间，将网络购物合同纠纷引入到法治化解决的轨道。</w:t>
      </w:r>
      <w:r w:rsidR="00826182">
        <w:rPr>
          <w:rFonts w:ascii="仿宋_GB2312" w:eastAsia="仿宋_GB2312" w:hint="eastAsia"/>
          <w:sz w:val="28"/>
          <w:szCs w:val="28"/>
        </w:rPr>
        <w:t>值得注意的是，商家应对职业打假人的这些</w:t>
      </w:r>
      <w:r>
        <w:rPr>
          <w:rFonts w:ascii="仿宋_GB2312" w:eastAsia="仿宋_GB2312" w:hint="eastAsia"/>
          <w:sz w:val="28"/>
          <w:szCs w:val="28"/>
        </w:rPr>
        <w:t>措施</w:t>
      </w:r>
      <w:r w:rsidR="00826182">
        <w:rPr>
          <w:rFonts w:ascii="仿宋_GB2312" w:eastAsia="仿宋_GB2312" w:hint="eastAsia"/>
          <w:sz w:val="28"/>
          <w:szCs w:val="28"/>
        </w:rPr>
        <w:t>应纳入到合理合法的框架范围内，避免</w:t>
      </w:r>
      <w:r>
        <w:rPr>
          <w:rFonts w:ascii="仿宋_GB2312" w:eastAsia="仿宋_GB2312" w:hint="eastAsia"/>
          <w:sz w:val="28"/>
          <w:szCs w:val="28"/>
        </w:rPr>
        <w:t>一般消费者的正当权益</w:t>
      </w:r>
      <w:r w:rsidR="00826182">
        <w:rPr>
          <w:rFonts w:ascii="仿宋_GB2312" w:eastAsia="仿宋_GB2312" w:hint="eastAsia"/>
          <w:sz w:val="28"/>
          <w:szCs w:val="28"/>
        </w:rPr>
        <w:t>受损</w:t>
      </w:r>
      <w:r>
        <w:rPr>
          <w:rFonts w:ascii="仿宋_GB2312" w:eastAsia="仿宋_GB2312" w:hint="eastAsia"/>
          <w:sz w:val="28"/>
          <w:szCs w:val="28"/>
        </w:rPr>
        <w:t>。</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三、审理中存在的问题</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（一）“职业打假人”与“消费者”关系问题</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职业打假人”并非法律概念。审判实践中，就职业打假人是否属于应依法保护的消费者、如何界定“为满足生活消费需要”存在争议。一种意见认为，职业打假人知假买假行为不是为了生活消费所需，购买动机亦不是为了净化市场，而是为了获取高额赔偿进行的恶意购买。</w:t>
      </w:r>
      <w:r>
        <w:rPr>
          <w:rFonts w:ascii="仿宋_GB2312" w:eastAsia="仿宋_GB2312" w:hint="eastAsia"/>
          <w:sz w:val="28"/>
          <w:szCs w:val="28"/>
        </w:rPr>
        <w:lastRenderedPageBreak/>
        <w:t>其购买性质应定性为营利，购买行为有违诚信，与消法的立法目的不符，不属于消费者权益保护法规定的消费者范畴。另一种意见认为，对消费者这一概念，应从宽把握，只要在交易中购买、使用商品不是为了生产经营所需，就应当认定为消费者。职业打假人知假买假的行为并不能否认其消费行为的本质，应当将其纳入消费者范畴。</w:t>
      </w:r>
    </w:p>
    <w:p w:rsidR="0039576C" w:rsidRDefault="0039576C" w:rsidP="0039576C">
      <w:pPr>
        <w:pStyle w:val="p0"/>
        <w:autoSpaceDN w:val="0"/>
        <w:ind w:firstLine="560"/>
        <w:rPr>
          <w:rFonts w:ascii="仿宋_GB2312" w:eastAsia="仿宋_GB2312"/>
          <w:sz w:val="28"/>
          <w:szCs w:val="28"/>
        </w:rPr>
      </w:pPr>
      <w:r>
        <w:rPr>
          <w:rFonts w:ascii="仿宋_GB2312" w:eastAsia="仿宋_GB2312" w:hint="eastAsia"/>
          <w:sz w:val="28"/>
          <w:szCs w:val="28"/>
        </w:rPr>
        <w:t>上述两种观点实质分歧仍然在于立法层面对此未出台明确意见的情况下，对</w:t>
      </w:r>
      <w:r w:rsidR="00D87C2E">
        <w:rPr>
          <w:rFonts w:ascii="仿宋_GB2312" w:eastAsia="仿宋_GB2312" w:hint="eastAsia"/>
          <w:sz w:val="28"/>
          <w:szCs w:val="28"/>
        </w:rPr>
        <w:t>《</w:t>
      </w:r>
      <w:r>
        <w:rPr>
          <w:rFonts w:ascii="仿宋_GB2312" w:eastAsia="仿宋_GB2312" w:hint="eastAsia"/>
          <w:sz w:val="28"/>
          <w:szCs w:val="28"/>
        </w:rPr>
        <w:t>消费者权益保护法</w:t>
      </w:r>
      <w:r w:rsidR="00D87C2E">
        <w:rPr>
          <w:rFonts w:ascii="仿宋_GB2312" w:eastAsia="仿宋_GB2312" w:hint="eastAsia"/>
          <w:sz w:val="28"/>
          <w:szCs w:val="28"/>
        </w:rPr>
        <w:t>》</w:t>
      </w:r>
      <w:r>
        <w:rPr>
          <w:rFonts w:ascii="仿宋_GB2312" w:eastAsia="仿宋_GB2312" w:hint="eastAsia"/>
          <w:sz w:val="28"/>
          <w:szCs w:val="28"/>
        </w:rPr>
        <w:t>的立法精神和价值判断的理解产生的差异。《最高人民法院关于审理食品药品纠纷案件适用法律若干问题的规定》虽然确认了在食品</w:t>
      </w:r>
      <w:r w:rsidR="00B542B8">
        <w:rPr>
          <w:rFonts w:ascii="仿宋_GB2312" w:eastAsia="仿宋_GB2312" w:hint="eastAsia"/>
          <w:sz w:val="28"/>
          <w:szCs w:val="28"/>
        </w:rPr>
        <w:t>药品</w:t>
      </w:r>
      <w:r>
        <w:rPr>
          <w:rFonts w:ascii="仿宋_GB2312" w:eastAsia="仿宋_GB2312" w:hint="eastAsia"/>
          <w:sz w:val="28"/>
          <w:szCs w:val="28"/>
        </w:rPr>
        <w:t>领域，知假买假者的消费者主体资格，但针对职业打假群体有组织的以营利为主要目的、重复诉讼等不诚信的职业打假行为，是否赋予其消费者主体资格有待进一步探讨。</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（二）明知进口食品无中文标签是否适用十倍赔偿问题</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食品安全法》第148条规定食品标签、说明书存在不影响食品安全且不会对消费者造成误导的瑕疵，不应适用十倍赔偿。审理中，商家为避免遭遇职业打假,在商品出售前明确告知进口食品系海外代购无中文标签情形下，消费者仍予以购买</w:t>
      </w:r>
      <w:r w:rsidR="00B542B8">
        <w:rPr>
          <w:rFonts w:ascii="仿宋_GB2312" w:eastAsia="仿宋_GB2312" w:hint="eastAsia"/>
          <w:sz w:val="28"/>
          <w:szCs w:val="28"/>
        </w:rPr>
        <w:t>并主张十倍赔偿应否得到支持存在争议。</w:t>
      </w:r>
      <w:r>
        <w:rPr>
          <w:rFonts w:ascii="仿宋_GB2312" w:eastAsia="仿宋_GB2312" w:hint="eastAsia"/>
          <w:sz w:val="28"/>
          <w:szCs w:val="28"/>
        </w:rPr>
        <w:t>一种意见认为，进口食品如因没有经过检验检疫取得合格证明</w:t>
      </w:r>
      <w:r w:rsidR="00B542B8">
        <w:rPr>
          <w:rFonts w:ascii="仿宋_GB2312" w:eastAsia="仿宋_GB2312" w:hint="eastAsia"/>
          <w:sz w:val="28"/>
          <w:szCs w:val="28"/>
        </w:rPr>
        <w:t>、</w:t>
      </w:r>
      <w:r>
        <w:rPr>
          <w:rFonts w:ascii="仿宋_GB2312" w:eastAsia="仿宋_GB2312" w:hint="eastAsia"/>
          <w:sz w:val="28"/>
          <w:szCs w:val="28"/>
        </w:rPr>
        <w:t>未取得并粘贴中文标签或说明的，食品安全无法得到保证，职业打假人知假买假，仍应当支持十倍赔偿；另一种意见认为，消费者在购买进口食品时已明确知道无中文标签仍要求继续发货，且无证据表明该食品对人体存在危害的，应认定商家的行为未对消费者构成误导，其主张十倍赔偿，不应予以支持。</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lastRenderedPageBreak/>
        <w:t>司法实践中，对于进口食品安全标准主流观点认为未经国家出入境检验检疫取得合格证明</w:t>
      </w:r>
      <w:r w:rsidR="001366E6">
        <w:rPr>
          <w:rFonts w:ascii="仿宋_GB2312" w:eastAsia="仿宋_GB2312" w:hint="eastAsia"/>
          <w:sz w:val="28"/>
          <w:szCs w:val="28"/>
        </w:rPr>
        <w:t>、无中文标签</w:t>
      </w:r>
      <w:r>
        <w:rPr>
          <w:rFonts w:ascii="仿宋_GB2312" w:eastAsia="仿宋_GB2312" w:hint="eastAsia"/>
          <w:sz w:val="28"/>
          <w:szCs w:val="28"/>
        </w:rPr>
        <w:t>的，应当认定为不符合食品安全标准。这一做法</w:t>
      </w:r>
      <w:r w:rsidR="00B542B8">
        <w:rPr>
          <w:rFonts w:ascii="仿宋_GB2312" w:eastAsia="仿宋_GB2312" w:hint="eastAsia"/>
          <w:sz w:val="28"/>
          <w:szCs w:val="28"/>
        </w:rPr>
        <w:t>体现了</w:t>
      </w:r>
      <w:r>
        <w:rPr>
          <w:rFonts w:ascii="仿宋_GB2312" w:eastAsia="仿宋_GB2312" w:hint="eastAsia"/>
          <w:sz w:val="28"/>
          <w:szCs w:val="28"/>
        </w:rPr>
        <w:t>对涉及食品安全问题</w:t>
      </w:r>
      <w:r w:rsidR="00B542B8">
        <w:rPr>
          <w:rFonts w:ascii="仿宋_GB2312" w:eastAsia="仿宋_GB2312" w:hint="eastAsia"/>
          <w:sz w:val="28"/>
          <w:szCs w:val="28"/>
        </w:rPr>
        <w:t>的</w:t>
      </w:r>
      <w:r>
        <w:rPr>
          <w:rFonts w:ascii="仿宋_GB2312" w:eastAsia="仿宋_GB2312" w:hint="eastAsia"/>
          <w:sz w:val="28"/>
          <w:szCs w:val="28"/>
        </w:rPr>
        <w:t>“零容忍”态度，但这也给了职业打假群体牟利的空间，有违立法本意。是否</w:t>
      </w:r>
      <w:r w:rsidR="00B542B8">
        <w:rPr>
          <w:rFonts w:ascii="仿宋_GB2312" w:eastAsia="仿宋_GB2312" w:hint="eastAsia"/>
          <w:sz w:val="28"/>
          <w:szCs w:val="28"/>
        </w:rPr>
        <w:t>能</w:t>
      </w:r>
      <w:r>
        <w:rPr>
          <w:rFonts w:ascii="仿宋_GB2312" w:eastAsia="仿宋_GB2312" w:hint="eastAsia"/>
          <w:sz w:val="28"/>
          <w:szCs w:val="28"/>
        </w:rPr>
        <w:t>将未经检验检疫</w:t>
      </w:r>
      <w:r w:rsidR="001366E6">
        <w:rPr>
          <w:rFonts w:ascii="仿宋_GB2312" w:eastAsia="仿宋_GB2312" w:hint="eastAsia"/>
          <w:sz w:val="28"/>
          <w:szCs w:val="28"/>
        </w:rPr>
        <w:t>、无中文标签</w:t>
      </w:r>
      <w:r>
        <w:rPr>
          <w:rFonts w:ascii="仿宋_GB2312" w:eastAsia="仿宋_GB2312" w:hint="eastAsia"/>
          <w:sz w:val="28"/>
          <w:szCs w:val="28"/>
        </w:rPr>
        <w:t>的进口食品</w:t>
      </w:r>
      <w:r w:rsidR="00B542B8">
        <w:rPr>
          <w:rFonts w:ascii="仿宋_GB2312" w:eastAsia="仿宋_GB2312" w:hint="eastAsia"/>
          <w:sz w:val="28"/>
          <w:szCs w:val="28"/>
        </w:rPr>
        <w:t>直接与</w:t>
      </w:r>
      <w:r>
        <w:rPr>
          <w:rFonts w:ascii="仿宋_GB2312" w:eastAsia="仿宋_GB2312" w:hint="eastAsia"/>
          <w:sz w:val="28"/>
          <w:szCs w:val="28"/>
        </w:rPr>
        <w:t>不安全</w:t>
      </w:r>
      <w:r w:rsidR="00B542B8">
        <w:rPr>
          <w:rFonts w:ascii="仿宋_GB2312" w:eastAsia="仿宋_GB2312" w:hint="eastAsia"/>
          <w:sz w:val="28"/>
          <w:szCs w:val="28"/>
        </w:rPr>
        <w:t>的</w:t>
      </w:r>
      <w:r>
        <w:rPr>
          <w:rFonts w:ascii="仿宋_GB2312" w:eastAsia="仿宋_GB2312" w:hint="eastAsia"/>
          <w:sz w:val="28"/>
          <w:szCs w:val="28"/>
        </w:rPr>
        <w:t>食品</w:t>
      </w:r>
      <w:r w:rsidR="00B542B8">
        <w:rPr>
          <w:rFonts w:ascii="仿宋_GB2312" w:eastAsia="仿宋_GB2312" w:hint="eastAsia"/>
          <w:sz w:val="28"/>
          <w:szCs w:val="28"/>
        </w:rPr>
        <w:t>划等号</w:t>
      </w:r>
      <w:r>
        <w:rPr>
          <w:rFonts w:ascii="仿宋_GB2312" w:eastAsia="仿宋_GB2312" w:hint="eastAsia"/>
          <w:sz w:val="28"/>
          <w:szCs w:val="28"/>
        </w:rPr>
        <w:t>，值得</w:t>
      </w:r>
      <w:r w:rsidR="00B542B8">
        <w:rPr>
          <w:rFonts w:ascii="仿宋_GB2312" w:eastAsia="仿宋_GB2312" w:hint="eastAsia"/>
          <w:sz w:val="28"/>
          <w:szCs w:val="28"/>
        </w:rPr>
        <w:t>我们在司法实践中</w:t>
      </w:r>
      <w:r>
        <w:rPr>
          <w:rFonts w:ascii="仿宋_GB2312" w:eastAsia="仿宋_GB2312" w:hint="eastAsia"/>
          <w:sz w:val="28"/>
          <w:szCs w:val="28"/>
        </w:rPr>
        <w:t>进一步</w:t>
      </w:r>
      <w:r w:rsidR="00B542B8">
        <w:rPr>
          <w:rFonts w:ascii="仿宋_GB2312" w:eastAsia="仿宋_GB2312" w:hint="eastAsia"/>
          <w:sz w:val="28"/>
          <w:szCs w:val="28"/>
        </w:rPr>
        <w:t>深入</w:t>
      </w:r>
      <w:r>
        <w:rPr>
          <w:rFonts w:ascii="仿宋_GB2312" w:eastAsia="仿宋_GB2312" w:hint="eastAsia"/>
          <w:sz w:val="28"/>
          <w:szCs w:val="28"/>
        </w:rPr>
        <w:t>研究。</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（三）电子商务</w:t>
      </w:r>
      <w:r w:rsidR="003F7736">
        <w:rPr>
          <w:rFonts w:ascii="仿宋_GB2312" w:eastAsia="仿宋_GB2312" w:hint="eastAsia"/>
          <w:b/>
          <w:sz w:val="28"/>
          <w:szCs w:val="28"/>
        </w:rPr>
        <w:t>平台商家</w:t>
      </w:r>
      <w:r>
        <w:rPr>
          <w:rFonts w:ascii="仿宋_GB2312" w:eastAsia="仿宋_GB2312" w:hint="eastAsia"/>
          <w:b/>
          <w:sz w:val="28"/>
          <w:szCs w:val="28"/>
        </w:rPr>
        <w:t>跨类目经营监管问题</w:t>
      </w:r>
    </w:p>
    <w:p w:rsidR="003F7736" w:rsidRDefault="003F7736" w:rsidP="003F7736">
      <w:pPr>
        <w:ind w:firstLineChars="200" w:firstLine="560"/>
        <w:rPr>
          <w:rFonts w:ascii="仿宋_GB2312" w:eastAsia="仿宋_GB2312"/>
          <w:sz w:val="28"/>
          <w:szCs w:val="28"/>
        </w:rPr>
      </w:pPr>
      <w:r>
        <w:rPr>
          <w:rFonts w:ascii="仿宋_GB2312" w:eastAsia="仿宋_GB2312" w:hint="eastAsia"/>
          <w:sz w:val="28"/>
          <w:szCs w:val="28"/>
        </w:rPr>
        <w:t>商家</w:t>
      </w:r>
      <w:r w:rsidR="0039576C">
        <w:rPr>
          <w:rFonts w:ascii="仿宋_GB2312" w:eastAsia="仿宋_GB2312" w:hint="eastAsia"/>
          <w:sz w:val="28"/>
          <w:szCs w:val="28"/>
        </w:rPr>
        <w:t>入驻平台后出现跨类目经营的情形</w:t>
      </w:r>
      <w:r>
        <w:rPr>
          <w:rFonts w:ascii="仿宋_GB2312" w:eastAsia="仿宋_GB2312" w:hint="eastAsia"/>
          <w:sz w:val="28"/>
          <w:szCs w:val="28"/>
        </w:rPr>
        <w:t>较为</w:t>
      </w:r>
      <w:r w:rsidR="0039576C">
        <w:rPr>
          <w:rFonts w:ascii="仿宋_GB2312" w:eastAsia="仿宋_GB2312" w:hint="eastAsia"/>
          <w:sz w:val="28"/>
          <w:szCs w:val="28"/>
        </w:rPr>
        <w:t>普遍。</w:t>
      </w:r>
      <w:r w:rsidRPr="00393453">
        <w:rPr>
          <w:rFonts w:ascii="仿宋_GB2312" w:eastAsia="仿宋_GB2312" w:hint="eastAsia"/>
          <w:sz w:val="28"/>
          <w:szCs w:val="28"/>
        </w:rPr>
        <w:t>司法实践中</w:t>
      </w:r>
      <w:r>
        <w:rPr>
          <w:rFonts w:ascii="仿宋_GB2312" w:eastAsia="仿宋_GB2312" w:hint="eastAsia"/>
          <w:sz w:val="28"/>
          <w:szCs w:val="28"/>
        </w:rPr>
        <w:t>曾出现商家</w:t>
      </w:r>
      <w:r w:rsidR="0039576C">
        <w:rPr>
          <w:rFonts w:ascii="仿宋_GB2312" w:eastAsia="仿宋_GB2312" w:hint="eastAsia"/>
          <w:sz w:val="28"/>
          <w:szCs w:val="28"/>
        </w:rPr>
        <w:t>入驻时勾选的经营类目为美容服饰，实际经营过程中出售食品、酒类、书籍等特许经营类商品。此种情形下，平台是否存在审核和监管义务，</w:t>
      </w:r>
      <w:r w:rsidR="0039576C" w:rsidRPr="00393453">
        <w:rPr>
          <w:rFonts w:ascii="仿宋_GB2312" w:eastAsia="仿宋_GB2312" w:hint="eastAsia"/>
          <w:sz w:val="28"/>
          <w:szCs w:val="28"/>
        </w:rPr>
        <w:t>司法实践中</w:t>
      </w:r>
      <w:r w:rsidR="0039576C">
        <w:rPr>
          <w:rFonts w:ascii="仿宋_GB2312" w:eastAsia="仿宋_GB2312" w:hint="eastAsia"/>
          <w:sz w:val="28"/>
          <w:szCs w:val="28"/>
        </w:rPr>
        <w:t>争议颇大。平台往往以商品数量海量为由</w:t>
      </w:r>
      <w:r w:rsidR="00D87C2E">
        <w:rPr>
          <w:rFonts w:ascii="仿宋_GB2312" w:eastAsia="仿宋_GB2312" w:hint="eastAsia"/>
          <w:sz w:val="28"/>
          <w:szCs w:val="28"/>
        </w:rPr>
        <w:t>，</w:t>
      </w:r>
      <w:r w:rsidR="0039576C">
        <w:rPr>
          <w:rFonts w:ascii="仿宋_GB2312" w:eastAsia="仿宋_GB2312" w:hint="eastAsia"/>
          <w:sz w:val="28"/>
          <w:szCs w:val="28"/>
        </w:rPr>
        <w:t>主张客观上无法对商家商品</w:t>
      </w:r>
      <w:r>
        <w:rPr>
          <w:rFonts w:ascii="仿宋_GB2312" w:eastAsia="仿宋_GB2312" w:hint="eastAsia"/>
          <w:sz w:val="28"/>
          <w:szCs w:val="28"/>
        </w:rPr>
        <w:t>上架</w:t>
      </w:r>
      <w:r w:rsidR="0039576C">
        <w:rPr>
          <w:rFonts w:ascii="仿宋_GB2312" w:eastAsia="仿宋_GB2312" w:hint="eastAsia"/>
          <w:sz w:val="28"/>
          <w:szCs w:val="28"/>
        </w:rPr>
        <w:t>销售进行事前审核和实时监督，仅能在入驻时就经营者勾选的类目进行资质审核，经营者事后跨类目销售商品，不应认定平台明知或应知经营者存在侵害消费者合法权益</w:t>
      </w:r>
      <w:r>
        <w:rPr>
          <w:rFonts w:ascii="仿宋_GB2312" w:eastAsia="仿宋_GB2312" w:hint="eastAsia"/>
          <w:sz w:val="28"/>
          <w:szCs w:val="28"/>
        </w:rPr>
        <w:t>的</w:t>
      </w:r>
      <w:r w:rsidR="0039576C">
        <w:rPr>
          <w:rFonts w:ascii="仿宋_GB2312" w:eastAsia="仿宋_GB2312" w:hint="eastAsia"/>
          <w:sz w:val="28"/>
          <w:szCs w:val="28"/>
        </w:rPr>
        <w:t>情形。</w:t>
      </w:r>
    </w:p>
    <w:p w:rsidR="0039576C" w:rsidRDefault="0039576C" w:rsidP="003F7736">
      <w:pPr>
        <w:ind w:firstLineChars="200" w:firstLine="560"/>
        <w:rPr>
          <w:rFonts w:ascii="仿宋_GB2312" w:eastAsia="仿宋_GB2312"/>
          <w:sz w:val="28"/>
          <w:szCs w:val="28"/>
        </w:rPr>
      </w:pPr>
      <w:r>
        <w:rPr>
          <w:rFonts w:ascii="仿宋_GB2312" w:eastAsia="仿宋_GB2312" w:hint="eastAsia"/>
          <w:sz w:val="28"/>
          <w:szCs w:val="28"/>
        </w:rPr>
        <w:t>跨类目经营问题折射的电商平台经营者注意及监管义务确实值得关注。一方面，电子商务平台经营者不仅是电子商务平台架构者，维护者，更是平台交易规则的制定者和交易秩序的管理者</w:t>
      </w:r>
      <w:r w:rsidR="003F7736">
        <w:rPr>
          <w:rFonts w:ascii="仿宋_GB2312" w:eastAsia="仿宋_GB2312" w:hint="eastAsia"/>
          <w:sz w:val="28"/>
          <w:szCs w:val="28"/>
        </w:rPr>
        <w:t>；</w:t>
      </w:r>
      <w:r>
        <w:rPr>
          <w:rFonts w:ascii="仿宋_GB2312" w:eastAsia="仿宋_GB2312" w:hint="eastAsia"/>
          <w:sz w:val="28"/>
          <w:szCs w:val="28"/>
        </w:rPr>
        <w:t>另一方面，《电子商务法》较《消费者权益保护法》、《食品安全法》进一步规定了平台经营者对入驻</w:t>
      </w:r>
      <w:r w:rsidR="00D87C2E">
        <w:rPr>
          <w:rFonts w:ascii="仿宋_GB2312" w:eastAsia="仿宋_GB2312" w:hint="eastAsia"/>
          <w:sz w:val="28"/>
          <w:szCs w:val="28"/>
        </w:rPr>
        <w:t>商户</w:t>
      </w:r>
      <w:r>
        <w:rPr>
          <w:rFonts w:ascii="仿宋_GB2312" w:eastAsia="仿宋_GB2312" w:hint="eastAsia"/>
          <w:sz w:val="28"/>
          <w:szCs w:val="28"/>
        </w:rPr>
        <w:t>负有经营资质审核义务及定期核验更新义务，</w:t>
      </w:r>
      <w:r w:rsidR="003F7736">
        <w:rPr>
          <w:rFonts w:ascii="仿宋_GB2312" w:eastAsia="仿宋_GB2312" w:hint="eastAsia"/>
          <w:sz w:val="28"/>
          <w:szCs w:val="28"/>
        </w:rPr>
        <w:t>且</w:t>
      </w:r>
      <w:r>
        <w:rPr>
          <w:rFonts w:ascii="仿宋_GB2312" w:eastAsia="仿宋_GB2312" w:hint="eastAsia"/>
          <w:sz w:val="28"/>
          <w:szCs w:val="28"/>
        </w:rPr>
        <w:t>对关系消费者生命健康的商品或服务，进一步明确了平台经营者对消费者的安全保障义务</w:t>
      </w:r>
      <w:r w:rsidR="003F7736">
        <w:rPr>
          <w:rFonts w:ascii="仿宋_GB2312" w:eastAsia="仿宋_GB2312" w:hint="eastAsia"/>
          <w:sz w:val="28"/>
          <w:szCs w:val="28"/>
        </w:rPr>
        <w:t>。</w:t>
      </w:r>
      <w:r>
        <w:rPr>
          <w:rFonts w:ascii="仿宋_GB2312" w:eastAsia="仿宋_GB2312" w:hint="eastAsia"/>
          <w:sz w:val="28"/>
          <w:szCs w:val="28"/>
        </w:rPr>
        <w:t>所以电商平台在跨类目经营问题上有能</w:t>
      </w:r>
      <w:r>
        <w:rPr>
          <w:rFonts w:ascii="仿宋_GB2312" w:eastAsia="仿宋_GB2312" w:hint="eastAsia"/>
          <w:sz w:val="28"/>
          <w:szCs w:val="28"/>
        </w:rPr>
        <w:lastRenderedPageBreak/>
        <w:t>力亦有义务尽到监管责任，</w:t>
      </w:r>
      <w:r w:rsidRPr="003918D2">
        <w:rPr>
          <w:rFonts w:ascii="仿宋_GB2312" w:eastAsia="仿宋_GB2312" w:hint="eastAsia"/>
          <w:sz w:val="28"/>
          <w:szCs w:val="28"/>
        </w:rPr>
        <w:t>如何</w:t>
      </w:r>
      <w:r w:rsidR="003F7736">
        <w:rPr>
          <w:rFonts w:ascii="仿宋_GB2312" w:eastAsia="仿宋_GB2312" w:hint="eastAsia"/>
          <w:sz w:val="28"/>
          <w:szCs w:val="28"/>
        </w:rPr>
        <w:t>在不过分加重平台责任的情况下，</w:t>
      </w:r>
      <w:r w:rsidRPr="003918D2">
        <w:rPr>
          <w:rFonts w:ascii="仿宋_GB2312" w:eastAsia="仿宋_GB2312" w:hint="eastAsia"/>
          <w:sz w:val="28"/>
          <w:szCs w:val="28"/>
        </w:rPr>
        <w:t>让平台承担更加全面的监管义务</w:t>
      </w:r>
      <w:r w:rsidR="003F7736">
        <w:rPr>
          <w:rFonts w:ascii="仿宋_GB2312" w:eastAsia="仿宋_GB2312" w:hint="eastAsia"/>
          <w:sz w:val="28"/>
          <w:szCs w:val="28"/>
        </w:rPr>
        <w:t>值得</w:t>
      </w:r>
      <w:r w:rsidRPr="003918D2">
        <w:rPr>
          <w:rFonts w:ascii="仿宋_GB2312" w:eastAsia="仿宋_GB2312" w:hint="eastAsia"/>
          <w:sz w:val="28"/>
          <w:szCs w:val="28"/>
        </w:rPr>
        <w:t>探讨。</w:t>
      </w:r>
    </w:p>
    <w:p w:rsidR="0039576C" w:rsidRDefault="0039576C" w:rsidP="002F1EAF">
      <w:pPr>
        <w:ind w:firstLineChars="200" w:firstLine="560"/>
        <w:rPr>
          <w:rFonts w:ascii="仿宋_GB2312" w:eastAsia="仿宋_GB2312"/>
          <w:b/>
          <w:sz w:val="28"/>
          <w:szCs w:val="28"/>
          <w:highlight w:val="yellow"/>
        </w:rPr>
      </w:pPr>
      <w:r>
        <w:rPr>
          <w:rFonts w:ascii="仿宋_GB2312" w:eastAsia="仿宋_GB2312" w:hint="eastAsia"/>
          <w:b/>
          <w:sz w:val="28"/>
          <w:szCs w:val="28"/>
        </w:rPr>
        <w:t>（四）网络代购行为性质认定问题</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当前网购领域，严格意义上的消费者指示代购的情形非常少见，常见的代购情形有以下两种</w:t>
      </w:r>
      <w:r w:rsidR="00CE45CB">
        <w:rPr>
          <w:rFonts w:ascii="仿宋_GB2312" w:eastAsia="仿宋_GB2312" w:hint="eastAsia"/>
          <w:sz w:val="28"/>
          <w:szCs w:val="28"/>
        </w:rPr>
        <w:t>：</w:t>
      </w:r>
      <w:r>
        <w:rPr>
          <w:rFonts w:ascii="仿宋_GB2312" w:eastAsia="仿宋_GB2312" w:hint="eastAsia"/>
          <w:sz w:val="28"/>
          <w:szCs w:val="28"/>
        </w:rPr>
        <w:t>一种是商品名称或详情页面展示有“现货”及“代购”字样</w:t>
      </w:r>
      <w:r w:rsidR="00D87C2E">
        <w:rPr>
          <w:rFonts w:ascii="仿宋_GB2312" w:eastAsia="仿宋_GB2312" w:hint="eastAsia"/>
          <w:sz w:val="28"/>
          <w:szCs w:val="28"/>
        </w:rPr>
        <w:t>；</w:t>
      </w:r>
      <w:r>
        <w:rPr>
          <w:rFonts w:ascii="仿宋_GB2312" w:eastAsia="仿宋_GB2312" w:hint="eastAsia"/>
          <w:sz w:val="28"/>
          <w:szCs w:val="28"/>
        </w:rPr>
        <w:t>另一种则以同样方式展示“商品需代购”信息。第一种有现货的代购，商品多以个人邮递物品的形式入境，再转卖给消费者。该种情形下，消费者与商家之间建立买卖关系，实践中无争议。第二种无现货的代购，代购者与消费者之间的法律关系是买卖关系还是委托关系的问题</w:t>
      </w:r>
      <w:r w:rsidR="00A35D4E">
        <w:rPr>
          <w:rFonts w:ascii="仿宋_GB2312" w:eastAsia="仿宋_GB2312" w:hint="eastAsia"/>
          <w:sz w:val="28"/>
          <w:szCs w:val="28"/>
        </w:rPr>
        <w:t>：</w:t>
      </w:r>
      <w:r>
        <w:rPr>
          <w:rFonts w:ascii="仿宋_GB2312" w:eastAsia="仿宋_GB2312" w:hint="eastAsia"/>
          <w:sz w:val="28"/>
          <w:szCs w:val="28"/>
        </w:rPr>
        <w:t>一种意见认为，代购交易的对价款应体现为代理费，而非货款。仅在页面展示时告知商品为代购，双方就具体代购事项及费用未作进一步确认情况下，并非严格意义上的指示代购，仍应认定为买卖关系</w:t>
      </w:r>
      <w:r w:rsidR="00A35D4E">
        <w:rPr>
          <w:rFonts w:ascii="仿宋_GB2312" w:eastAsia="仿宋_GB2312" w:hint="eastAsia"/>
          <w:sz w:val="28"/>
          <w:szCs w:val="28"/>
        </w:rPr>
        <w:t>；</w:t>
      </w:r>
      <w:r>
        <w:rPr>
          <w:rFonts w:ascii="仿宋_GB2312" w:eastAsia="仿宋_GB2312" w:hint="eastAsia"/>
          <w:sz w:val="28"/>
          <w:szCs w:val="28"/>
        </w:rPr>
        <w:t>另一种意见认为，如商品名称或详情已明确告知商品为海外代购，且商品系从海外直邮至消费者收货地址的，可以认定为委托关系。</w:t>
      </w:r>
    </w:p>
    <w:p w:rsidR="0039576C" w:rsidRDefault="0039576C" w:rsidP="0039576C">
      <w:pPr>
        <w:ind w:firstLineChars="200" w:firstLine="560"/>
        <w:rPr>
          <w:rFonts w:ascii="仿宋_GB2312" w:eastAsia="仿宋_GB2312"/>
          <w:sz w:val="28"/>
          <w:szCs w:val="28"/>
        </w:rPr>
      </w:pPr>
      <w:r>
        <w:rPr>
          <w:rFonts w:ascii="仿宋_GB2312" w:eastAsia="仿宋_GB2312" w:hint="eastAsia"/>
          <w:sz w:val="28"/>
          <w:szCs w:val="28"/>
        </w:rPr>
        <w:t>对职业打假案件而言，因代购商品属于买卖关系或委托关系的界定</w:t>
      </w:r>
      <w:r w:rsidR="00D87C2E">
        <w:rPr>
          <w:rFonts w:ascii="仿宋_GB2312" w:eastAsia="仿宋_GB2312" w:hint="eastAsia"/>
          <w:sz w:val="28"/>
          <w:szCs w:val="28"/>
        </w:rPr>
        <w:t>，</w:t>
      </w:r>
      <w:r>
        <w:rPr>
          <w:rFonts w:ascii="仿宋_GB2312" w:eastAsia="仿宋_GB2312" w:hint="eastAsia"/>
          <w:sz w:val="28"/>
          <w:szCs w:val="28"/>
        </w:rPr>
        <w:t>事关平台经营者的义务范围、商品瑕疵担保责任、惩罚性赔偿的承担问题，故需要充分讨论并审慎认定。</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四、对策和建议</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（一）完善互联网司法裁判规则，提升网络空间治理能力</w:t>
      </w:r>
    </w:p>
    <w:p w:rsidR="0039576C" w:rsidRDefault="0039576C" w:rsidP="002F1EAF">
      <w:pPr>
        <w:ind w:firstLineChars="200" w:firstLine="560"/>
        <w:rPr>
          <w:rFonts w:ascii="仿宋_GB2312" w:eastAsia="仿宋_GB2312"/>
          <w:sz w:val="28"/>
          <w:szCs w:val="28"/>
        </w:rPr>
      </w:pPr>
      <w:r>
        <w:rPr>
          <w:rFonts w:ascii="仿宋_GB2312" w:eastAsia="仿宋_GB2312" w:hint="eastAsia"/>
          <w:b/>
          <w:sz w:val="28"/>
          <w:szCs w:val="28"/>
        </w:rPr>
        <w:t>1.规范职业打假维权行为。</w:t>
      </w:r>
      <w:r>
        <w:rPr>
          <w:rFonts w:ascii="仿宋_GB2312" w:eastAsia="仿宋_GB2312" w:hint="eastAsia"/>
          <w:sz w:val="28"/>
          <w:szCs w:val="28"/>
        </w:rPr>
        <w:t>建议立法区分职业打假人和普通消费者维权，明确职业打假人的法律地位和定性，划定职业打假的边界。</w:t>
      </w:r>
      <w:r>
        <w:rPr>
          <w:rFonts w:ascii="仿宋_GB2312" w:eastAsia="仿宋_GB2312" w:hint="eastAsia"/>
          <w:sz w:val="28"/>
          <w:szCs w:val="28"/>
        </w:rPr>
        <w:lastRenderedPageBreak/>
        <w:t>同时，将索赔数额控制在一定范围内，确定一个合理的赔偿标准。在发挥职业打假人“森林啄木鸟”积极作用</w:t>
      </w:r>
      <w:r w:rsidR="00A35D4E">
        <w:rPr>
          <w:rFonts w:ascii="仿宋_GB2312" w:eastAsia="仿宋_GB2312" w:hint="eastAsia"/>
          <w:sz w:val="28"/>
          <w:szCs w:val="28"/>
        </w:rPr>
        <w:t>的</w:t>
      </w:r>
      <w:r>
        <w:rPr>
          <w:rFonts w:ascii="仿宋_GB2312" w:eastAsia="仿宋_GB2312" w:hint="eastAsia"/>
          <w:sz w:val="28"/>
          <w:szCs w:val="28"/>
        </w:rPr>
        <w:t>同时，又有效遏制滥用诉讼、恶意维权现象的发生，实现鼓励打假、净化市场、规范行为的有机统一。</w:t>
      </w:r>
    </w:p>
    <w:p w:rsidR="0039576C" w:rsidRDefault="0039576C" w:rsidP="002F1EAF">
      <w:pPr>
        <w:ind w:firstLineChars="200" w:firstLine="560"/>
        <w:rPr>
          <w:rFonts w:ascii="仿宋_GB2312" w:eastAsia="仿宋_GB2312"/>
          <w:sz w:val="28"/>
          <w:szCs w:val="28"/>
        </w:rPr>
      </w:pPr>
      <w:r>
        <w:rPr>
          <w:rFonts w:ascii="仿宋_GB2312" w:eastAsia="仿宋_GB2312" w:hint="eastAsia"/>
          <w:b/>
          <w:sz w:val="28"/>
          <w:szCs w:val="28"/>
        </w:rPr>
        <w:t>2.强化电商平台监管义务。</w:t>
      </w:r>
      <w:r>
        <w:rPr>
          <w:rFonts w:ascii="仿宋_GB2312" w:eastAsia="仿宋_GB2312" w:hint="eastAsia"/>
          <w:sz w:val="28"/>
          <w:szCs w:val="28"/>
        </w:rPr>
        <w:t>电商平台在网络交易环境维护方面具有天然的技术优势，在资格审查、信息审核、商品管理、商品宣传方面具备</w:t>
      </w:r>
      <w:r w:rsidR="00A35D4E">
        <w:rPr>
          <w:rFonts w:ascii="仿宋_GB2312" w:eastAsia="仿宋_GB2312" w:hint="eastAsia"/>
          <w:sz w:val="28"/>
          <w:szCs w:val="28"/>
        </w:rPr>
        <w:t>管理</w:t>
      </w:r>
      <w:r>
        <w:rPr>
          <w:rFonts w:ascii="仿宋_GB2312" w:eastAsia="仿宋_GB2312" w:hint="eastAsia"/>
          <w:sz w:val="28"/>
          <w:szCs w:val="28"/>
        </w:rPr>
        <w:t>条件。针对实践中的电商平台</w:t>
      </w:r>
      <w:r w:rsidR="00A35D4E">
        <w:rPr>
          <w:rFonts w:ascii="仿宋_GB2312" w:eastAsia="仿宋_GB2312" w:hint="eastAsia"/>
          <w:sz w:val="28"/>
          <w:szCs w:val="28"/>
        </w:rPr>
        <w:t>商家</w:t>
      </w:r>
      <w:r>
        <w:rPr>
          <w:rFonts w:ascii="仿宋_GB2312" w:eastAsia="仿宋_GB2312" w:hint="eastAsia"/>
          <w:sz w:val="28"/>
          <w:szCs w:val="28"/>
        </w:rPr>
        <w:t>跨类目经营</w:t>
      </w:r>
      <w:r w:rsidR="00A35D4E">
        <w:rPr>
          <w:rFonts w:ascii="仿宋_GB2312" w:eastAsia="仿宋_GB2312" w:hint="eastAsia"/>
          <w:sz w:val="28"/>
          <w:szCs w:val="28"/>
        </w:rPr>
        <w:t>的</w:t>
      </w:r>
      <w:r>
        <w:rPr>
          <w:rFonts w:ascii="仿宋_GB2312" w:eastAsia="仿宋_GB2312" w:hint="eastAsia"/>
          <w:sz w:val="28"/>
          <w:szCs w:val="28"/>
        </w:rPr>
        <w:t>问题，建议立法明确电商平台针对此种情形下所应承担的监管义务及法律后果。在现行</w:t>
      </w:r>
      <w:r w:rsidR="00A35D4E">
        <w:rPr>
          <w:rFonts w:ascii="仿宋_GB2312" w:eastAsia="仿宋_GB2312" w:hint="eastAsia"/>
          <w:sz w:val="28"/>
          <w:szCs w:val="28"/>
        </w:rPr>
        <w:t>《</w:t>
      </w:r>
      <w:r>
        <w:rPr>
          <w:rFonts w:ascii="仿宋_GB2312" w:eastAsia="仿宋_GB2312" w:hint="eastAsia"/>
          <w:sz w:val="28"/>
          <w:szCs w:val="28"/>
        </w:rPr>
        <w:t>电子商务法</w:t>
      </w:r>
      <w:r w:rsidR="00A35D4E">
        <w:rPr>
          <w:rFonts w:ascii="仿宋_GB2312" w:eastAsia="仿宋_GB2312" w:hint="eastAsia"/>
          <w:sz w:val="28"/>
          <w:szCs w:val="28"/>
        </w:rPr>
        <w:t>》</w:t>
      </w:r>
      <w:r>
        <w:rPr>
          <w:rFonts w:ascii="仿宋_GB2312" w:eastAsia="仿宋_GB2312" w:hint="eastAsia"/>
          <w:sz w:val="28"/>
          <w:szCs w:val="28"/>
        </w:rPr>
        <w:t>规定平台“定期核验更新”义务基础上</w:t>
      </w:r>
      <w:r w:rsidR="00A35D4E">
        <w:rPr>
          <w:rFonts w:ascii="仿宋_GB2312" w:eastAsia="仿宋_GB2312" w:hint="eastAsia"/>
          <w:sz w:val="28"/>
          <w:szCs w:val="28"/>
        </w:rPr>
        <w:t>，应</w:t>
      </w:r>
      <w:r>
        <w:rPr>
          <w:rFonts w:ascii="仿宋_GB2312" w:eastAsia="仿宋_GB2312" w:hint="eastAsia"/>
          <w:sz w:val="28"/>
          <w:szCs w:val="28"/>
        </w:rPr>
        <w:t>明确</w:t>
      </w:r>
      <w:r w:rsidR="00A35D4E">
        <w:rPr>
          <w:rFonts w:ascii="仿宋_GB2312" w:eastAsia="仿宋_GB2312" w:hint="eastAsia"/>
          <w:sz w:val="28"/>
          <w:szCs w:val="28"/>
        </w:rPr>
        <w:t>“</w:t>
      </w:r>
      <w:r>
        <w:rPr>
          <w:rFonts w:ascii="仿宋_GB2312" w:eastAsia="仿宋_GB2312" w:hint="eastAsia"/>
          <w:sz w:val="28"/>
          <w:szCs w:val="28"/>
        </w:rPr>
        <w:t>定期</w:t>
      </w:r>
      <w:r w:rsidR="00A35D4E">
        <w:rPr>
          <w:rFonts w:ascii="仿宋_GB2312" w:eastAsia="仿宋_GB2312" w:hint="eastAsia"/>
          <w:sz w:val="28"/>
          <w:szCs w:val="28"/>
        </w:rPr>
        <w:t>”</w:t>
      </w:r>
      <w:r>
        <w:rPr>
          <w:rFonts w:ascii="仿宋_GB2312" w:eastAsia="仿宋_GB2312" w:hint="eastAsia"/>
          <w:sz w:val="28"/>
          <w:szCs w:val="28"/>
        </w:rPr>
        <w:t>的合理期限</w:t>
      </w:r>
      <w:r w:rsidR="00A35D4E">
        <w:rPr>
          <w:rFonts w:ascii="仿宋_GB2312" w:eastAsia="仿宋_GB2312" w:hint="eastAsia"/>
          <w:sz w:val="28"/>
          <w:szCs w:val="28"/>
        </w:rPr>
        <w:t>和</w:t>
      </w:r>
      <w:r>
        <w:rPr>
          <w:rFonts w:ascii="仿宋_GB2312" w:eastAsia="仿宋_GB2312" w:hint="eastAsia"/>
          <w:sz w:val="28"/>
          <w:szCs w:val="28"/>
        </w:rPr>
        <w:t>核验范围。除了核验平台内</w:t>
      </w:r>
      <w:r w:rsidR="00A35D4E">
        <w:rPr>
          <w:rFonts w:ascii="仿宋_GB2312" w:eastAsia="仿宋_GB2312" w:hint="eastAsia"/>
          <w:sz w:val="28"/>
          <w:szCs w:val="28"/>
        </w:rPr>
        <w:t>商家</w:t>
      </w:r>
      <w:r>
        <w:rPr>
          <w:rFonts w:ascii="仿宋_GB2312" w:eastAsia="仿宋_GB2312" w:hint="eastAsia"/>
          <w:sz w:val="28"/>
          <w:szCs w:val="28"/>
        </w:rPr>
        <w:t>入驻信息及资质信息外，还应当增加核验是否存在跨类目经营情形，督促电商平台</w:t>
      </w:r>
      <w:r w:rsidR="00A35D4E">
        <w:rPr>
          <w:rFonts w:ascii="仿宋_GB2312" w:eastAsia="仿宋_GB2312" w:hint="eastAsia"/>
          <w:sz w:val="28"/>
          <w:szCs w:val="28"/>
        </w:rPr>
        <w:t>落实</w:t>
      </w:r>
      <w:r>
        <w:rPr>
          <w:rFonts w:ascii="仿宋_GB2312" w:eastAsia="仿宋_GB2312" w:hint="eastAsia"/>
          <w:sz w:val="28"/>
          <w:szCs w:val="28"/>
        </w:rPr>
        <w:t>网络空间治理</w:t>
      </w:r>
      <w:r w:rsidR="00A35D4E">
        <w:rPr>
          <w:rFonts w:ascii="仿宋_GB2312" w:eastAsia="仿宋_GB2312" w:hint="eastAsia"/>
          <w:sz w:val="28"/>
          <w:szCs w:val="28"/>
        </w:rPr>
        <w:t>的主体责任</w:t>
      </w:r>
      <w:r>
        <w:rPr>
          <w:rFonts w:ascii="仿宋_GB2312" w:eastAsia="仿宋_GB2312" w:hint="eastAsia"/>
          <w:sz w:val="28"/>
          <w:szCs w:val="28"/>
        </w:rPr>
        <w:t>，有效提升网络空间法治化水平。</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（二）统筹各方资源参与社会治理，推动网络空间协同共治</w:t>
      </w:r>
    </w:p>
    <w:p w:rsidR="0039576C" w:rsidRDefault="0039576C" w:rsidP="002F1EAF">
      <w:pPr>
        <w:ind w:firstLineChars="200" w:firstLine="560"/>
        <w:rPr>
          <w:rFonts w:ascii="仿宋_GB2312" w:eastAsia="仿宋_GB2312"/>
          <w:sz w:val="28"/>
          <w:szCs w:val="28"/>
        </w:rPr>
      </w:pPr>
      <w:r>
        <w:rPr>
          <w:rFonts w:ascii="仿宋_GB2312" w:eastAsia="仿宋_GB2312" w:hint="eastAsia"/>
          <w:b/>
          <w:sz w:val="28"/>
          <w:szCs w:val="28"/>
        </w:rPr>
        <w:t>1.搭建“一站式”调解平台</w:t>
      </w:r>
      <w:r>
        <w:rPr>
          <w:rFonts w:ascii="仿宋_GB2312" w:eastAsia="仿宋_GB2312" w:hint="eastAsia"/>
          <w:sz w:val="28"/>
          <w:szCs w:val="28"/>
        </w:rPr>
        <w:t>。整合工商、质量技术、食品药品监督管理部门</w:t>
      </w:r>
      <w:r w:rsidR="00683FB3">
        <w:rPr>
          <w:rFonts w:ascii="仿宋_GB2312" w:eastAsia="仿宋_GB2312" w:hint="eastAsia"/>
          <w:sz w:val="28"/>
          <w:szCs w:val="28"/>
        </w:rPr>
        <w:t>的</w:t>
      </w:r>
      <w:r>
        <w:rPr>
          <w:rFonts w:ascii="仿宋_GB2312" w:eastAsia="仿宋_GB2312" w:hint="eastAsia"/>
          <w:sz w:val="28"/>
          <w:szCs w:val="28"/>
        </w:rPr>
        <w:t>行政调解</w:t>
      </w:r>
      <w:r w:rsidR="00683FB3">
        <w:rPr>
          <w:rFonts w:ascii="仿宋_GB2312" w:eastAsia="仿宋_GB2312" w:hint="eastAsia"/>
          <w:sz w:val="28"/>
          <w:szCs w:val="28"/>
        </w:rPr>
        <w:t>，</w:t>
      </w:r>
      <w:r>
        <w:rPr>
          <w:rFonts w:ascii="仿宋_GB2312" w:eastAsia="仿宋_GB2312" w:hint="eastAsia"/>
          <w:sz w:val="28"/>
          <w:szCs w:val="28"/>
        </w:rPr>
        <w:t>消费者权益保护委员会</w:t>
      </w:r>
      <w:r w:rsidR="00683FB3">
        <w:rPr>
          <w:rFonts w:ascii="仿宋_GB2312" w:eastAsia="仿宋_GB2312" w:hint="eastAsia"/>
          <w:sz w:val="28"/>
          <w:szCs w:val="28"/>
        </w:rPr>
        <w:t>的</w:t>
      </w:r>
      <w:r>
        <w:rPr>
          <w:rFonts w:ascii="仿宋_GB2312" w:eastAsia="仿宋_GB2312" w:hint="eastAsia"/>
          <w:sz w:val="28"/>
          <w:szCs w:val="28"/>
        </w:rPr>
        <w:t>行业调解及法院司法调解资源，依托互联网司法优势，实现纠纷分层过滤化解。</w:t>
      </w:r>
    </w:p>
    <w:p w:rsidR="0039576C" w:rsidRDefault="0039576C" w:rsidP="002F1EAF">
      <w:pPr>
        <w:ind w:firstLineChars="200" w:firstLine="560"/>
        <w:rPr>
          <w:rFonts w:ascii="仿宋_GB2312" w:eastAsia="仿宋_GB2312"/>
          <w:sz w:val="28"/>
          <w:szCs w:val="28"/>
        </w:rPr>
      </w:pPr>
      <w:r>
        <w:rPr>
          <w:rFonts w:ascii="仿宋_GB2312" w:eastAsia="仿宋_GB2312" w:hint="eastAsia"/>
          <w:b/>
          <w:sz w:val="28"/>
          <w:szCs w:val="28"/>
        </w:rPr>
        <w:t>2.借鉴国外“赏金猎人”制度</w:t>
      </w:r>
      <w:r>
        <w:rPr>
          <w:rFonts w:ascii="仿宋_GB2312" w:eastAsia="仿宋_GB2312" w:hint="eastAsia"/>
          <w:sz w:val="28"/>
          <w:szCs w:val="28"/>
        </w:rPr>
        <w:t>。建议由政府雇佣专门人员对网络商品进行抽检，由政府向其发放固定报酬，同时就打假成果给予一定金额奖励。通过这种方式对职业打假行为进行合理规制和引导，既保证消费者的正当权益，同时维护</w:t>
      </w:r>
      <w:r w:rsidR="00D77FDF">
        <w:rPr>
          <w:rFonts w:ascii="仿宋_GB2312" w:eastAsia="仿宋_GB2312" w:hint="eastAsia"/>
          <w:sz w:val="28"/>
          <w:szCs w:val="28"/>
        </w:rPr>
        <w:t>商家</w:t>
      </w:r>
      <w:r>
        <w:rPr>
          <w:rFonts w:ascii="仿宋_GB2312" w:eastAsia="仿宋_GB2312" w:hint="eastAsia"/>
          <w:sz w:val="28"/>
          <w:szCs w:val="28"/>
        </w:rPr>
        <w:t>与电商平台的合法权益，共同推进建设健康有序的市场环境。</w:t>
      </w:r>
    </w:p>
    <w:p w:rsidR="0039576C" w:rsidRDefault="0039576C" w:rsidP="002F1EAF">
      <w:pPr>
        <w:ind w:firstLineChars="200" w:firstLine="560"/>
        <w:rPr>
          <w:rFonts w:ascii="仿宋_GB2312" w:eastAsia="仿宋_GB2312"/>
          <w:b/>
          <w:sz w:val="28"/>
          <w:szCs w:val="28"/>
        </w:rPr>
      </w:pPr>
      <w:r>
        <w:rPr>
          <w:rFonts w:ascii="仿宋_GB2312" w:eastAsia="仿宋_GB2312" w:hint="eastAsia"/>
          <w:b/>
          <w:sz w:val="28"/>
          <w:szCs w:val="28"/>
        </w:rPr>
        <w:t>（三）聚焦网络空间诉源治理，拓展互联网司法职能形式</w:t>
      </w:r>
    </w:p>
    <w:p w:rsidR="0039576C" w:rsidRDefault="0039576C" w:rsidP="002F1EAF">
      <w:pPr>
        <w:ind w:firstLineChars="200" w:firstLine="560"/>
        <w:rPr>
          <w:rFonts w:ascii="仿宋_GB2312" w:eastAsia="仿宋_GB2312"/>
          <w:sz w:val="28"/>
          <w:szCs w:val="28"/>
        </w:rPr>
      </w:pPr>
      <w:r>
        <w:rPr>
          <w:rFonts w:ascii="仿宋_GB2312" w:eastAsia="仿宋_GB2312" w:hint="eastAsia"/>
          <w:b/>
          <w:sz w:val="28"/>
          <w:szCs w:val="28"/>
        </w:rPr>
        <w:lastRenderedPageBreak/>
        <w:t>1.推进司法工作向纠纷源头</w:t>
      </w:r>
      <w:r w:rsidR="00D77FDF">
        <w:rPr>
          <w:rFonts w:ascii="仿宋_GB2312" w:eastAsia="仿宋_GB2312" w:hint="eastAsia"/>
          <w:b/>
          <w:sz w:val="28"/>
          <w:szCs w:val="28"/>
        </w:rPr>
        <w:t>防控</w:t>
      </w:r>
      <w:r>
        <w:rPr>
          <w:rFonts w:ascii="仿宋_GB2312" w:eastAsia="仿宋_GB2312" w:hint="eastAsia"/>
          <w:b/>
          <w:sz w:val="28"/>
          <w:szCs w:val="28"/>
        </w:rPr>
        <w:t>延伸</w:t>
      </w:r>
      <w:r>
        <w:rPr>
          <w:rFonts w:ascii="仿宋_GB2312" w:eastAsia="仿宋_GB2312" w:hint="eastAsia"/>
          <w:sz w:val="28"/>
          <w:szCs w:val="28"/>
        </w:rPr>
        <w:t>。定期向辖区内平台企业发布司法诊断报告，对涉职业打假网络购物合同纠纷案件进行针对性的司法分析，引导企业开展“靶向治疗”，加强对平台内</w:t>
      </w:r>
      <w:r w:rsidR="00D77FDF">
        <w:rPr>
          <w:rFonts w:ascii="仿宋_GB2312" w:eastAsia="仿宋_GB2312" w:hint="eastAsia"/>
          <w:sz w:val="28"/>
          <w:szCs w:val="28"/>
        </w:rPr>
        <w:t>商家</w:t>
      </w:r>
      <w:r>
        <w:rPr>
          <w:rFonts w:ascii="仿宋_GB2312" w:eastAsia="仿宋_GB2312" w:hint="eastAsia"/>
          <w:sz w:val="28"/>
          <w:szCs w:val="28"/>
        </w:rPr>
        <w:t>的监管力度。</w:t>
      </w:r>
    </w:p>
    <w:p w:rsidR="00A023B8" w:rsidRPr="0039576C" w:rsidRDefault="0039576C" w:rsidP="00387610">
      <w:pPr>
        <w:ind w:firstLineChars="200" w:firstLine="560"/>
        <w:rPr>
          <w:rFonts w:ascii="仿宋_GB2312" w:eastAsia="仿宋_GB2312" w:hAnsi="仿宋_GB2312" w:cs="仿宋_GB2312"/>
          <w:sz w:val="28"/>
          <w:szCs w:val="28"/>
        </w:rPr>
      </w:pPr>
      <w:r>
        <w:rPr>
          <w:rFonts w:ascii="仿宋_GB2312" w:eastAsia="仿宋_GB2312" w:hint="eastAsia"/>
          <w:b/>
          <w:sz w:val="28"/>
          <w:szCs w:val="28"/>
        </w:rPr>
        <w:t>2.发挥司法工作</w:t>
      </w:r>
      <w:r w:rsidR="00D77FDF">
        <w:rPr>
          <w:rFonts w:ascii="仿宋_GB2312" w:eastAsia="仿宋_GB2312" w:hint="eastAsia"/>
          <w:b/>
          <w:sz w:val="28"/>
          <w:szCs w:val="28"/>
        </w:rPr>
        <w:t>的</w:t>
      </w:r>
      <w:r>
        <w:rPr>
          <w:rFonts w:ascii="仿宋_GB2312" w:eastAsia="仿宋_GB2312" w:hint="eastAsia"/>
          <w:b/>
          <w:sz w:val="28"/>
          <w:szCs w:val="28"/>
        </w:rPr>
        <w:t>价值引领</w:t>
      </w:r>
      <w:r w:rsidR="00D77FDF">
        <w:rPr>
          <w:rFonts w:ascii="仿宋_GB2312" w:eastAsia="仿宋_GB2312" w:hint="eastAsia"/>
          <w:b/>
          <w:sz w:val="28"/>
          <w:szCs w:val="28"/>
        </w:rPr>
        <w:t>作用</w:t>
      </w:r>
      <w:r>
        <w:rPr>
          <w:rFonts w:ascii="仿宋_GB2312" w:eastAsia="仿宋_GB2312" w:hint="eastAsia"/>
          <w:sz w:val="28"/>
          <w:szCs w:val="28"/>
        </w:rPr>
        <w:t>。定期发布网络购物维权案例及裁判要旨，</w:t>
      </w:r>
      <w:r>
        <w:rPr>
          <w:rFonts w:ascii="仿宋_GB2312" w:eastAsia="仿宋_GB2312" w:hAnsi="仿宋_GB2312" w:cs="仿宋_GB2312" w:hint="eastAsia"/>
          <w:sz w:val="28"/>
          <w:szCs w:val="28"/>
        </w:rPr>
        <w:t>促进行业规则制定、提升行业管理</w:t>
      </w:r>
      <w:r w:rsidR="00D77FDF">
        <w:rPr>
          <w:rFonts w:ascii="仿宋_GB2312" w:eastAsia="仿宋_GB2312" w:hAnsi="仿宋_GB2312" w:cs="仿宋_GB2312" w:hint="eastAsia"/>
          <w:sz w:val="28"/>
          <w:szCs w:val="28"/>
        </w:rPr>
        <w:t>水平</w:t>
      </w:r>
      <w:r>
        <w:rPr>
          <w:rFonts w:ascii="仿宋_GB2312" w:eastAsia="仿宋_GB2312" w:hAnsi="仿宋_GB2312" w:cs="仿宋_GB2312" w:hint="eastAsia"/>
          <w:sz w:val="28"/>
          <w:szCs w:val="28"/>
        </w:rPr>
        <w:t>，</w:t>
      </w:r>
      <w:r w:rsidR="00D77FDF">
        <w:rPr>
          <w:rFonts w:ascii="仿宋_GB2312" w:eastAsia="仿宋_GB2312" w:hAnsi="仿宋_GB2312" w:cs="仿宋_GB2312" w:hint="eastAsia"/>
          <w:sz w:val="28"/>
          <w:szCs w:val="28"/>
        </w:rPr>
        <w:t>引导</w:t>
      </w:r>
      <w:r>
        <w:rPr>
          <w:rFonts w:ascii="仿宋_GB2312" w:eastAsia="仿宋_GB2312" w:hAnsi="仿宋_GB2312" w:cs="仿宋_GB2312" w:hint="eastAsia"/>
          <w:sz w:val="28"/>
          <w:szCs w:val="28"/>
        </w:rPr>
        <w:t>消费者审慎交易、理性维权，净化网络消费市场环境，为优化营商环境提供</w:t>
      </w:r>
      <w:r w:rsidR="00D243DD">
        <w:rPr>
          <w:rFonts w:ascii="仿宋_GB2312" w:eastAsia="仿宋_GB2312" w:hAnsi="仿宋_GB2312" w:cs="仿宋_GB2312" w:hint="eastAsia"/>
          <w:sz w:val="28"/>
          <w:szCs w:val="28"/>
        </w:rPr>
        <w:t>坚强</w:t>
      </w:r>
      <w:r>
        <w:rPr>
          <w:rFonts w:ascii="仿宋_GB2312" w:eastAsia="仿宋_GB2312" w:hAnsi="仿宋_GB2312" w:cs="仿宋_GB2312" w:hint="eastAsia"/>
          <w:sz w:val="28"/>
          <w:szCs w:val="28"/>
        </w:rPr>
        <w:t>司法保障。</w:t>
      </w:r>
    </w:p>
    <w:sectPr w:rsidR="00A023B8" w:rsidRPr="0039576C" w:rsidSect="006D3107">
      <w:footerReference w:type="default" r:id="rId16"/>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5C2" w:rsidRDefault="007675C2" w:rsidP="00EB3C62">
      <w:r>
        <w:separator/>
      </w:r>
    </w:p>
  </w:endnote>
  <w:endnote w:type="continuationSeparator" w:id="1">
    <w:p w:rsidR="007675C2" w:rsidRDefault="007675C2" w:rsidP="00EB3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284516"/>
      <w:docPartObj>
        <w:docPartGallery w:val="Page Numbers (Bottom of Page)"/>
        <w:docPartUnique/>
      </w:docPartObj>
    </w:sdtPr>
    <w:sdtContent>
      <w:p w:rsidR="00D77FDF" w:rsidRDefault="00387610">
        <w:pPr>
          <w:pStyle w:val="a7"/>
          <w:jc w:val="center"/>
        </w:pPr>
        <w:fldSimple w:instr=" PAGE   \* MERGEFORMAT ">
          <w:r w:rsidR="002F1EAF" w:rsidRPr="002F1EAF">
            <w:rPr>
              <w:noProof/>
              <w:lang w:val="zh-CN"/>
            </w:rPr>
            <w:t>3</w:t>
          </w:r>
        </w:fldSimple>
      </w:p>
    </w:sdtContent>
  </w:sdt>
  <w:p w:rsidR="00D77FDF" w:rsidRDefault="00D77F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5C2" w:rsidRDefault="007675C2" w:rsidP="00EB3C62">
      <w:r>
        <w:separator/>
      </w:r>
    </w:p>
  </w:footnote>
  <w:footnote w:type="continuationSeparator" w:id="1">
    <w:p w:rsidR="007675C2" w:rsidRDefault="007675C2" w:rsidP="00EB3C62">
      <w:r>
        <w:continuationSeparator/>
      </w:r>
    </w:p>
  </w:footnote>
  <w:footnote w:id="2">
    <w:p w:rsidR="00D77FDF" w:rsidRDefault="00D77FDF">
      <w:pPr>
        <w:pStyle w:val="a4"/>
      </w:pPr>
      <w:r>
        <w:rPr>
          <w:rStyle w:val="a5"/>
        </w:rPr>
        <w:footnoteRef/>
      </w:r>
      <w:r>
        <w:t xml:space="preserve"> </w:t>
      </w:r>
      <w:r>
        <w:rPr>
          <w:rFonts w:hint="eastAsia"/>
        </w:rPr>
        <w:t>参见国家统计局网站</w:t>
      </w:r>
      <w:r>
        <w:rPr>
          <w:rFonts w:hint="eastAsia"/>
        </w:rPr>
        <w:t>www.status.gov.cn/tjsj/zxfb/201912/t20191216_1717699.html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B67D8"/>
    <w:multiLevelType w:val="hybridMultilevel"/>
    <w:tmpl w:val="59C43E9C"/>
    <w:lvl w:ilvl="0" w:tplc="AD1241E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A17F96"/>
    <w:multiLevelType w:val="hybridMultilevel"/>
    <w:tmpl w:val="15CA2BA6"/>
    <w:lvl w:ilvl="0" w:tplc="59D6BDB4">
      <w:start w:val="4"/>
      <w:numFmt w:val="japaneseCounting"/>
      <w:lvlText w:val="（%1）"/>
      <w:lvlJc w:val="left"/>
      <w:pPr>
        <w:ind w:left="1357" w:hanging="79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430D0308"/>
    <w:multiLevelType w:val="hybridMultilevel"/>
    <w:tmpl w:val="F4180602"/>
    <w:lvl w:ilvl="0" w:tplc="66D69D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7EF6BCE"/>
    <w:multiLevelType w:val="hybridMultilevel"/>
    <w:tmpl w:val="2F1209CA"/>
    <w:lvl w:ilvl="0" w:tplc="62BC5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722E1C"/>
    <w:multiLevelType w:val="hybridMultilevel"/>
    <w:tmpl w:val="F508FE70"/>
    <w:lvl w:ilvl="0" w:tplc="FB7414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3D72F0"/>
    <w:multiLevelType w:val="hybridMultilevel"/>
    <w:tmpl w:val="72D4A038"/>
    <w:lvl w:ilvl="0" w:tplc="1F267F7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DA7DAE"/>
    <w:multiLevelType w:val="hybridMultilevel"/>
    <w:tmpl w:val="8C7A91D2"/>
    <w:lvl w:ilvl="0" w:tplc="D1147380">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501"/>
    <w:rsid w:val="00004409"/>
    <w:rsid w:val="00020CA5"/>
    <w:rsid w:val="00022EF2"/>
    <w:rsid w:val="00030212"/>
    <w:rsid w:val="000346C5"/>
    <w:rsid w:val="000379AE"/>
    <w:rsid w:val="00041390"/>
    <w:rsid w:val="00043FBD"/>
    <w:rsid w:val="0004695C"/>
    <w:rsid w:val="00046C71"/>
    <w:rsid w:val="00055C4C"/>
    <w:rsid w:val="000670C8"/>
    <w:rsid w:val="00070014"/>
    <w:rsid w:val="00071F4A"/>
    <w:rsid w:val="0007382F"/>
    <w:rsid w:val="00081B08"/>
    <w:rsid w:val="00085A46"/>
    <w:rsid w:val="00085F42"/>
    <w:rsid w:val="00094B25"/>
    <w:rsid w:val="000A4E75"/>
    <w:rsid w:val="000B260A"/>
    <w:rsid w:val="000C618B"/>
    <w:rsid w:val="000D191F"/>
    <w:rsid w:val="000E39F4"/>
    <w:rsid w:val="000E56AE"/>
    <w:rsid w:val="000E6CEB"/>
    <w:rsid w:val="000E6FF6"/>
    <w:rsid w:val="000F395F"/>
    <w:rsid w:val="00102CA0"/>
    <w:rsid w:val="00104986"/>
    <w:rsid w:val="00107C73"/>
    <w:rsid w:val="0012185F"/>
    <w:rsid w:val="00122718"/>
    <w:rsid w:val="001273F9"/>
    <w:rsid w:val="00127CE1"/>
    <w:rsid w:val="00133B79"/>
    <w:rsid w:val="001359B5"/>
    <w:rsid w:val="001366E6"/>
    <w:rsid w:val="0014057E"/>
    <w:rsid w:val="0014225B"/>
    <w:rsid w:val="00142EB0"/>
    <w:rsid w:val="00143FB3"/>
    <w:rsid w:val="00156913"/>
    <w:rsid w:val="00157798"/>
    <w:rsid w:val="00161089"/>
    <w:rsid w:val="00161821"/>
    <w:rsid w:val="0017047C"/>
    <w:rsid w:val="00177FF6"/>
    <w:rsid w:val="00192C42"/>
    <w:rsid w:val="0019394F"/>
    <w:rsid w:val="00194642"/>
    <w:rsid w:val="00195FA5"/>
    <w:rsid w:val="001A15D2"/>
    <w:rsid w:val="001A7AF8"/>
    <w:rsid w:val="001B5411"/>
    <w:rsid w:val="001B5C14"/>
    <w:rsid w:val="001C0679"/>
    <w:rsid w:val="001C2566"/>
    <w:rsid w:val="001C2D41"/>
    <w:rsid w:val="001C434B"/>
    <w:rsid w:val="001C527D"/>
    <w:rsid w:val="001D00A5"/>
    <w:rsid w:val="001D4CEC"/>
    <w:rsid w:val="001F0778"/>
    <w:rsid w:val="001F49B7"/>
    <w:rsid w:val="002061AB"/>
    <w:rsid w:val="00206C7F"/>
    <w:rsid w:val="0020775C"/>
    <w:rsid w:val="0021108E"/>
    <w:rsid w:val="0021577A"/>
    <w:rsid w:val="002158EE"/>
    <w:rsid w:val="00217271"/>
    <w:rsid w:val="00224B54"/>
    <w:rsid w:val="0022659D"/>
    <w:rsid w:val="0023303B"/>
    <w:rsid w:val="00242B55"/>
    <w:rsid w:val="00243134"/>
    <w:rsid w:val="00245623"/>
    <w:rsid w:val="00251649"/>
    <w:rsid w:val="00252172"/>
    <w:rsid w:val="00252800"/>
    <w:rsid w:val="00254AED"/>
    <w:rsid w:val="002702D6"/>
    <w:rsid w:val="0027076C"/>
    <w:rsid w:val="002707FB"/>
    <w:rsid w:val="0027626B"/>
    <w:rsid w:val="0028335C"/>
    <w:rsid w:val="00291D02"/>
    <w:rsid w:val="002974AD"/>
    <w:rsid w:val="002A4D9F"/>
    <w:rsid w:val="002A59BF"/>
    <w:rsid w:val="002B2BDE"/>
    <w:rsid w:val="002C5024"/>
    <w:rsid w:val="002C60DE"/>
    <w:rsid w:val="002D633A"/>
    <w:rsid w:val="002E0F46"/>
    <w:rsid w:val="002E263C"/>
    <w:rsid w:val="002E7E29"/>
    <w:rsid w:val="002F1EAF"/>
    <w:rsid w:val="002F64E8"/>
    <w:rsid w:val="0030152E"/>
    <w:rsid w:val="00303095"/>
    <w:rsid w:val="00303DD3"/>
    <w:rsid w:val="00310140"/>
    <w:rsid w:val="00312984"/>
    <w:rsid w:val="0032060D"/>
    <w:rsid w:val="003266B2"/>
    <w:rsid w:val="0034290C"/>
    <w:rsid w:val="0034730D"/>
    <w:rsid w:val="003553A8"/>
    <w:rsid w:val="00370504"/>
    <w:rsid w:val="00377C5A"/>
    <w:rsid w:val="00387610"/>
    <w:rsid w:val="003918D2"/>
    <w:rsid w:val="00393453"/>
    <w:rsid w:val="0039576C"/>
    <w:rsid w:val="00396B09"/>
    <w:rsid w:val="003B7913"/>
    <w:rsid w:val="003C4D27"/>
    <w:rsid w:val="003C522F"/>
    <w:rsid w:val="003D16D5"/>
    <w:rsid w:val="003D4614"/>
    <w:rsid w:val="003E6DC7"/>
    <w:rsid w:val="003E7066"/>
    <w:rsid w:val="003F1112"/>
    <w:rsid w:val="003F12C5"/>
    <w:rsid w:val="003F7736"/>
    <w:rsid w:val="00402DD9"/>
    <w:rsid w:val="00420A0E"/>
    <w:rsid w:val="004267E3"/>
    <w:rsid w:val="00427A0F"/>
    <w:rsid w:val="0043379B"/>
    <w:rsid w:val="00441848"/>
    <w:rsid w:val="004426CE"/>
    <w:rsid w:val="00447724"/>
    <w:rsid w:val="00447AC2"/>
    <w:rsid w:val="00450E01"/>
    <w:rsid w:val="00455B9F"/>
    <w:rsid w:val="0046291D"/>
    <w:rsid w:val="004717B9"/>
    <w:rsid w:val="004747D0"/>
    <w:rsid w:val="004832BA"/>
    <w:rsid w:val="00485DEA"/>
    <w:rsid w:val="004A4B46"/>
    <w:rsid w:val="004A54A1"/>
    <w:rsid w:val="004A58ED"/>
    <w:rsid w:val="004B64CF"/>
    <w:rsid w:val="004C639A"/>
    <w:rsid w:val="004D4B71"/>
    <w:rsid w:val="004D6F1E"/>
    <w:rsid w:val="004D7639"/>
    <w:rsid w:val="004D7CB9"/>
    <w:rsid w:val="004E6DAA"/>
    <w:rsid w:val="004F6DE0"/>
    <w:rsid w:val="004F77CB"/>
    <w:rsid w:val="005001F3"/>
    <w:rsid w:val="00500FA1"/>
    <w:rsid w:val="00520975"/>
    <w:rsid w:val="0052518D"/>
    <w:rsid w:val="00526B02"/>
    <w:rsid w:val="005306A5"/>
    <w:rsid w:val="00543204"/>
    <w:rsid w:val="0054520C"/>
    <w:rsid w:val="00551D12"/>
    <w:rsid w:val="0055240A"/>
    <w:rsid w:val="005553F9"/>
    <w:rsid w:val="00566533"/>
    <w:rsid w:val="005731F8"/>
    <w:rsid w:val="0057770E"/>
    <w:rsid w:val="0058392A"/>
    <w:rsid w:val="00586F17"/>
    <w:rsid w:val="005901AD"/>
    <w:rsid w:val="005A6605"/>
    <w:rsid w:val="005B6F77"/>
    <w:rsid w:val="005C555C"/>
    <w:rsid w:val="005C5A73"/>
    <w:rsid w:val="005D5A4B"/>
    <w:rsid w:val="005D65AC"/>
    <w:rsid w:val="005D707D"/>
    <w:rsid w:val="005E4E66"/>
    <w:rsid w:val="005F0569"/>
    <w:rsid w:val="005F23F9"/>
    <w:rsid w:val="0060173D"/>
    <w:rsid w:val="0060498B"/>
    <w:rsid w:val="00610C9B"/>
    <w:rsid w:val="00617D3E"/>
    <w:rsid w:val="006228B3"/>
    <w:rsid w:val="0062392C"/>
    <w:rsid w:val="00624B98"/>
    <w:rsid w:val="0063216D"/>
    <w:rsid w:val="00633352"/>
    <w:rsid w:val="00642833"/>
    <w:rsid w:val="006510C7"/>
    <w:rsid w:val="006519A1"/>
    <w:rsid w:val="00657210"/>
    <w:rsid w:val="00661E2A"/>
    <w:rsid w:val="00662052"/>
    <w:rsid w:val="0067132E"/>
    <w:rsid w:val="00673C7D"/>
    <w:rsid w:val="00677AA2"/>
    <w:rsid w:val="00681DE4"/>
    <w:rsid w:val="00683FB3"/>
    <w:rsid w:val="00694E1F"/>
    <w:rsid w:val="006A0820"/>
    <w:rsid w:val="006A541F"/>
    <w:rsid w:val="006B2830"/>
    <w:rsid w:val="006B35C8"/>
    <w:rsid w:val="006B6E61"/>
    <w:rsid w:val="006C342D"/>
    <w:rsid w:val="006C4556"/>
    <w:rsid w:val="006C66A3"/>
    <w:rsid w:val="006D1DD4"/>
    <w:rsid w:val="006D3107"/>
    <w:rsid w:val="006D35B1"/>
    <w:rsid w:val="006D44EE"/>
    <w:rsid w:val="006E0FF9"/>
    <w:rsid w:val="00712E45"/>
    <w:rsid w:val="00713E85"/>
    <w:rsid w:val="00716D71"/>
    <w:rsid w:val="007171EC"/>
    <w:rsid w:val="007235CD"/>
    <w:rsid w:val="00725D53"/>
    <w:rsid w:val="00730BDF"/>
    <w:rsid w:val="007405D6"/>
    <w:rsid w:val="00746F72"/>
    <w:rsid w:val="00755106"/>
    <w:rsid w:val="007626E3"/>
    <w:rsid w:val="007675C2"/>
    <w:rsid w:val="00772D53"/>
    <w:rsid w:val="00780149"/>
    <w:rsid w:val="0078308C"/>
    <w:rsid w:val="007A0F76"/>
    <w:rsid w:val="007A7354"/>
    <w:rsid w:val="007B2A3C"/>
    <w:rsid w:val="007C1BD1"/>
    <w:rsid w:val="007C2C69"/>
    <w:rsid w:val="007C7DCA"/>
    <w:rsid w:val="007D3218"/>
    <w:rsid w:val="007E21A9"/>
    <w:rsid w:val="007E7C70"/>
    <w:rsid w:val="007F24EE"/>
    <w:rsid w:val="00804138"/>
    <w:rsid w:val="0080418B"/>
    <w:rsid w:val="008045BC"/>
    <w:rsid w:val="008075C9"/>
    <w:rsid w:val="008214AA"/>
    <w:rsid w:val="00822648"/>
    <w:rsid w:val="0082463E"/>
    <w:rsid w:val="00826182"/>
    <w:rsid w:val="008323D6"/>
    <w:rsid w:val="0083244D"/>
    <w:rsid w:val="00833498"/>
    <w:rsid w:val="00852428"/>
    <w:rsid w:val="0085747C"/>
    <w:rsid w:val="00871796"/>
    <w:rsid w:val="00887049"/>
    <w:rsid w:val="0089219A"/>
    <w:rsid w:val="00892644"/>
    <w:rsid w:val="008957DD"/>
    <w:rsid w:val="008979E2"/>
    <w:rsid w:val="008A2870"/>
    <w:rsid w:val="008A511F"/>
    <w:rsid w:val="008B0B35"/>
    <w:rsid w:val="008B3BB1"/>
    <w:rsid w:val="008B48C6"/>
    <w:rsid w:val="008C7583"/>
    <w:rsid w:val="008F3917"/>
    <w:rsid w:val="008F4E85"/>
    <w:rsid w:val="00900B04"/>
    <w:rsid w:val="00900B3F"/>
    <w:rsid w:val="00911AF2"/>
    <w:rsid w:val="00914DEA"/>
    <w:rsid w:val="009255A4"/>
    <w:rsid w:val="00942E18"/>
    <w:rsid w:val="00943149"/>
    <w:rsid w:val="00950383"/>
    <w:rsid w:val="00951207"/>
    <w:rsid w:val="0095124D"/>
    <w:rsid w:val="00955E03"/>
    <w:rsid w:val="009711E5"/>
    <w:rsid w:val="0098092D"/>
    <w:rsid w:val="009814FB"/>
    <w:rsid w:val="00982EBF"/>
    <w:rsid w:val="00990A69"/>
    <w:rsid w:val="0099191E"/>
    <w:rsid w:val="00993059"/>
    <w:rsid w:val="00993CCF"/>
    <w:rsid w:val="00993FB7"/>
    <w:rsid w:val="00995CBB"/>
    <w:rsid w:val="00996BC9"/>
    <w:rsid w:val="009A432E"/>
    <w:rsid w:val="009B67FC"/>
    <w:rsid w:val="009C5EAE"/>
    <w:rsid w:val="009D3014"/>
    <w:rsid w:val="009D4196"/>
    <w:rsid w:val="009E00ED"/>
    <w:rsid w:val="009E0679"/>
    <w:rsid w:val="009E1494"/>
    <w:rsid w:val="009E1C0A"/>
    <w:rsid w:val="009F7D0D"/>
    <w:rsid w:val="00A00760"/>
    <w:rsid w:val="00A023B8"/>
    <w:rsid w:val="00A0288A"/>
    <w:rsid w:val="00A04447"/>
    <w:rsid w:val="00A11D01"/>
    <w:rsid w:val="00A1323B"/>
    <w:rsid w:val="00A242D7"/>
    <w:rsid w:val="00A25046"/>
    <w:rsid w:val="00A263DD"/>
    <w:rsid w:val="00A32A3D"/>
    <w:rsid w:val="00A35D4E"/>
    <w:rsid w:val="00A36C03"/>
    <w:rsid w:val="00A41A4D"/>
    <w:rsid w:val="00A42DD5"/>
    <w:rsid w:val="00A518FC"/>
    <w:rsid w:val="00A53DC1"/>
    <w:rsid w:val="00A600A2"/>
    <w:rsid w:val="00A65998"/>
    <w:rsid w:val="00A66BF3"/>
    <w:rsid w:val="00A71EF2"/>
    <w:rsid w:val="00A77E1F"/>
    <w:rsid w:val="00A81611"/>
    <w:rsid w:val="00AB27C5"/>
    <w:rsid w:val="00AB7C63"/>
    <w:rsid w:val="00AC4BF5"/>
    <w:rsid w:val="00AC7D11"/>
    <w:rsid w:val="00AD26E4"/>
    <w:rsid w:val="00AE4194"/>
    <w:rsid w:val="00AF277E"/>
    <w:rsid w:val="00AF4C92"/>
    <w:rsid w:val="00B1724B"/>
    <w:rsid w:val="00B20CD0"/>
    <w:rsid w:val="00B23D3D"/>
    <w:rsid w:val="00B25519"/>
    <w:rsid w:val="00B34C8D"/>
    <w:rsid w:val="00B418AD"/>
    <w:rsid w:val="00B445A7"/>
    <w:rsid w:val="00B542B8"/>
    <w:rsid w:val="00B552B4"/>
    <w:rsid w:val="00B56E07"/>
    <w:rsid w:val="00B635D6"/>
    <w:rsid w:val="00B648FE"/>
    <w:rsid w:val="00B71DE7"/>
    <w:rsid w:val="00B74ECD"/>
    <w:rsid w:val="00B95B18"/>
    <w:rsid w:val="00BA3407"/>
    <w:rsid w:val="00BC168A"/>
    <w:rsid w:val="00BC51E4"/>
    <w:rsid w:val="00BC5302"/>
    <w:rsid w:val="00BC6D07"/>
    <w:rsid w:val="00BC7D64"/>
    <w:rsid w:val="00BD75AF"/>
    <w:rsid w:val="00BF06D6"/>
    <w:rsid w:val="00BF0EA1"/>
    <w:rsid w:val="00BF59F4"/>
    <w:rsid w:val="00BF68DC"/>
    <w:rsid w:val="00C07889"/>
    <w:rsid w:val="00C13012"/>
    <w:rsid w:val="00C20CB0"/>
    <w:rsid w:val="00C26DA5"/>
    <w:rsid w:val="00C32F50"/>
    <w:rsid w:val="00C33EEF"/>
    <w:rsid w:val="00C40C60"/>
    <w:rsid w:val="00C418B8"/>
    <w:rsid w:val="00C41E2F"/>
    <w:rsid w:val="00C4766A"/>
    <w:rsid w:val="00C5402A"/>
    <w:rsid w:val="00C54FE7"/>
    <w:rsid w:val="00C625E5"/>
    <w:rsid w:val="00C7136F"/>
    <w:rsid w:val="00C80F38"/>
    <w:rsid w:val="00C828E9"/>
    <w:rsid w:val="00C8659B"/>
    <w:rsid w:val="00C9390B"/>
    <w:rsid w:val="00C94C8E"/>
    <w:rsid w:val="00C95236"/>
    <w:rsid w:val="00C97E08"/>
    <w:rsid w:val="00CB0A3A"/>
    <w:rsid w:val="00CC3D4D"/>
    <w:rsid w:val="00CD0626"/>
    <w:rsid w:val="00CD6169"/>
    <w:rsid w:val="00CD63A9"/>
    <w:rsid w:val="00CE211F"/>
    <w:rsid w:val="00CE45CB"/>
    <w:rsid w:val="00CE625B"/>
    <w:rsid w:val="00CE664F"/>
    <w:rsid w:val="00CF3F4E"/>
    <w:rsid w:val="00D11268"/>
    <w:rsid w:val="00D113A0"/>
    <w:rsid w:val="00D14293"/>
    <w:rsid w:val="00D158E0"/>
    <w:rsid w:val="00D15C24"/>
    <w:rsid w:val="00D227C2"/>
    <w:rsid w:val="00D243DD"/>
    <w:rsid w:val="00D54B14"/>
    <w:rsid w:val="00D56684"/>
    <w:rsid w:val="00D57279"/>
    <w:rsid w:val="00D60798"/>
    <w:rsid w:val="00D67485"/>
    <w:rsid w:val="00D70E5D"/>
    <w:rsid w:val="00D7411C"/>
    <w:rsid w:val="00D77FDF"/>
    <w:rsid w:val="00D83979"/>
    <w:rsid w:val="00D87C2E"/>
    <w:rsid w:val="00D939E0"/>
    <w:rsid w:val="00D94D8B"/>
    <w:rsid w:val="00DA22B1"/>
    <w:rsid w:val="00DB1971"/>
    <w:rsid w:val="00DB20C2"/>
    <w:rsid w:val="00DB4564"/>
    <w:rsid w:val="00DC05D2"/>
    <w:rsid w:val="00DD07A4"/>
    <w:rsid w:val="00DD4414"/>
    <w:rsid w:val="00DD4501"/>
    <w:rsid w:val="00DD562A"/>
    <w:rsid w:val="00DD7C5C"/>
    <w:rsid w:val="00DE11A6"/>
    <w:rsid w:val="00DF0F2C"/>
    <w:rsid w:val="00DF1693"/>
    <w:rsid w:val="00E01B8E"/>
    <w:rsid w:val="00E1104B"/>
    <w:rsid w:val="00E13533"/>
    <w:rsid w:val="00E1557F"/>
    <w:rsid w:val="00E24139"/>
    <w:rsid w:val="00E317E6"/>
    <w:rsid w:val="00E345D8"/>
    <w:rsid w:val="00E558B7"/>
    <w:rsid w:val="00E6340A"/>
    <w:rsid w:val="00E77A73"/>
    <w:rsid w:val="00E822BE"/>
    <w:rsid w:val="00E82F7A"/>
    <w:rsid w:val="00E868A4"/>
    <w:rsid w:val="00E9259E"/>
    <w:rsid w:val="00E9291E"/>
    <w:rsid w:val="00EB090F"/>
    <w:rsid w:val="00EB0DEA"/>
    <w:rsid w:val="00EB1015"/>
    <w:rsid w:val="00EB296A"/>
    <w:rsid w:val="00EB3C62"/>
    <w:rsid w:val="00ED1210"/>
    <w:rsid w:val="00EF1168"/>
    <w:rsid w:val="00EF2F66"/>
    <w:rsid w:val="00F0171B"/>
    <w:rsid w:val="00F04A56"/>
    <w:rsid w:val="00F24553"/>
    <w:rsid w:val="00F37EDE"/>
    <w:rsid w:val="00F46EF8"/>
    <w:rsid w:val="00F53A0E"/>
    <w:rsid w:val="00F54C56"/>
    <w:rsid w:val="00F55349"/>
    <w:rsid w:val="00F576C4"/>
    <w:rsid w:val="00F72292"/>
    <w:rsid w:val="00F81218"/>
    <w:rsid w:val="00F87EA1"/>
    <w:rsid w:val="00FB466D"/>
    <w:rsid w:val="00FB63B9"/>
    <w:rsid w:val="00FB63E4"/>
    <w:rsid w:val="00FC2C97"/>
    <w:rsid w:val="00FF4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501"/>
    <w:pPr>
      <w:ind w:firstLineChars="200" w:firstLine="420"/>
    </w:pPr>
  </w:style>
  <w:style w:type="paragraph" w:styleId="a4">
    <w:name w:val="footnote text"/>
    <w:basedOn w:val="a"/>
    <w:link w:val="Char"/>
    <w:uiPriority w:val="99"/>
    <w:semiHidden/>
    <w:unhideWhenUsed/>
    <w:rsid w:val="00EB3C62"/>
    <w:pPr>
      <w:snapToGrid w:val="0"/>
      <w:jc w:val="left"/>
    </w:pPr>
    <w:rPr>
      <w:sz w:val="18"/>
      <w:szCs w:val="18"/>
    </w:rPr>
  </w:style>
  <w:style w:type="character" w:customStyle="1" w:styleId="Char">
    <w:name w:val="脚注文本 Char"/>
    <w:basedOn w:val="a0"/>
    <w:link w:val="a4"/>
    <w:uiPriority w:val="99"/>
    <w:semiHidden/>
    <w:rsid w:val="00EB3C62"/>
    <w:rPr>
      <w:sz w:val="18"/>
      <w:szCs w:val="18"/>
    </w:rPr>
  </w:style>
  <w:style w:type="character" w:styleId="a5">
    <w:name w:val="footnote reference"/>
    <w:basedOn w:val="a0"/>
    <w:uiPriority w:val="99"/>
    <w:semiHidden/>
    <w:unhideWhenUsed/>
    <w:rsid w:val="00EB3C62"/>
    <w:rPr>
      <w:vertAlign w:val="superscript"/>
    </w:rPr>
  </w:style>
  <w:style w:type="paragraph" w:styleId="a6">
    <w:name w:val="header"/>
    <w:basedOn w:val="a"/>
    <w:link w:val="Char0"/>
    <w:uiPriority w:val="99"/>
    <w:semiHidden/>
    <w:unhideWhenUsed/>
    <w:rsid w:val="001218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2185F"/>
    <w:rPr>
      <w:sz w:val="18"/>
      <w:szCs w:val="18"/>
    </w:rPr>
  </w:style>
  <w:style w:type="paragraph" w:styleId="a7">
    <w:name w:val="footer"/>
    <w:basedOn w:val="a"/>
    <w:link w:val="Char1"/>
    <w:uiPriority w:val="99"/>
    <w:unhideWhenUsed/>
    <w:rsid w:val="0012185F"/>
    <w:pPr>
      <w:tabs>
        <w:tab w:val="center" w:pos="4153"/>
        <w:tab w:val="right" w:pos="8306"/>
      </w:tabs>
      <w:snapToGrid w:val="0"/>
      <w:jc w:val="left"/>
    </w:pPr>
    <w:rPr>
      <w:sz w:val="18"/>
      <w:szCs w:val="18"/>
    </w:rPr>
  </w:style>
  <w:style w:type="character" w:customStyle="1" w:styleId="Char1">
    <w:name w:val="页脚 Char"/>
    <w:basedOn w:val="a0"/>
    <w:link w:val="a7"/>
    <w:uiPriority w:val="99"/>
    <w:rsid w:val="0012185F"/>
    <w:rPr>
      <w:sz w:val="18"/>
      <w:szCs w:val="18"/>
    </w:rPr>
  </w:style>
  <w:style w:type="character" w:customStyle="1" w:styleId="round55">
    <w:name w:val="round55"/>
    <w:basedOn w:val="a0"/>
    <w:rsid w:val="00055C4C"/>
  </w:style>
  <w:style w:type="paragraph" w:styleId="a8">
    <w:name w:val="Balloon Text"/>
    <w:basedOn w:val="a"/>
    <w:link w:val="Char2"/>
    <w:uiPriority w:val="99"/>
    <w:semiHidden/>
    <w:unhideWhenUsed/>
    <w:rsid w:val="00662052"/>
    <w:rPr>
      <w:sz w:val="18"/>
      <w:szCs w:val="18"/>
    </w:rPr>
  </w:style>
  <w:style w:type="character" w:customStyle="1" w:styleId="Char2">
    <w:name w:val="批注框文本 Char"/>
    <w:basedOn w:val="a0"/>
    <w:link w:val="a8"/>
    <w:uiPriority w:val="99"/>
    <w:semiHidden/>
    <w:rsid w:val="00662052"/>
    <w:rPr>
      <w:sz w:val="18"/>
      <w:szCs w:val="18"/>
    </w:rPr>
  </w:style>
  <w:style w:type="paragraph" w:customStyle="1" w:styleId="p0">
    <w:name w:val="p0"/>
    <w:basedOn w:val="a"/>
    <w:rsid w:val="0039576C"/>
    <w:pPr>
      <w:widowControl/>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8892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13.99\F&#26032;\&#21830;&#20107;&#23457;&#21028;&#24237;&#65288;&#20114;&#32852;&#32593;&#26696;&#20214;&#23457;&#21028;&#24237;&#65289;\&#21608;&#27849;&#27849;\&#32593;&#36141;&#25171;&#20551;&#26696;&#20214;&#32479;&#35745;\2017-2019&#24180;&#32467;&#2669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13.99\F&#26032;\&#21830;&#20107;&#23457;&#21028;&#24237;&#65288;&#20114;&#32852;&#32593;&#26696;&#20214;&#23457;&#21028;&#24237;&#65289;\&#21608;&#27849;&#27849;\&#32593;&#36141;&#25171;&#20551;&#26696;&#20214;&#32479;&#35745;\2017-2019&#24180;&#32467;&#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13.99\f&#26032;\&#21830;&#20107;&#23457;&#21028;&#24237;&#65288;&#20114;&#32852;&#32593;&#26696;&#20214;&#23457;&#21028;&#24237;&#65289;\&#21608;&#27849;&#27849;\&#32593;&#36141;&#25171;&#20551;&#26696;&#20214;&#32479;&#35745;\2017-2019&#24180;&#32467;&#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13.99\f&#26032;\&#21830;&#20107;&#23457;&#21028;&#24237;&#65288;&#20114;&#32852;&#32593;&#26696;&#20214;&#23457;&#21028;&#24237;&#65289;\&#21608;&#27849;&#27849;\&#32593;&#36141;&#25171;&#20551;&#26696;&#20214;&#32479;&#35745;\2017-2019&#24180;&#32467;&#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13.99\f&#26032;\&#21830;&#20107;&#23457;&#21028;&#24237;&#65288;&#20114;&#32852;&#32593;&#26696;&#20214;&#23457;&#21028;&#24237;&#65289;\&#21608;&#27849;&#27849;\&#32593;&#36141;&#25171;&#20551;&#26696;&#20214;&#32479;&#35745;\2017-2019&#24180;&#32467;&#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13.99\F&#26032;\&#21830;&#20107;&#23457;&#21028;&#24237;&#65288;&#20114;&#32852;&#32593;&#26696;&#20214;&#23457;&#21028;&#24237;&#65289;\&#21608;&#27849;&#27849;\&#32593;&#36141;&#25171;&#20551;&#26696;&#20214;&#32479;&#35745;\2017-2019&#24180;&#32467;&#2669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113.99\F&#26032;\&#21830;&#20107;&#23457;&#21028;&#24237;&#65288;&#20114;&#32852;&#32593;&#26696;&#20214;&#23457;&#21028;&#24237;&#65289;\&#21608;&#27849;&#27849;\&#32593;&#36141;&#25171;&#20551;&#26696;&#20214;&#32479;&#35745;\2017-2019&#24180;&#32467;&#2669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113.99\F&#26032;\&#21830;&#20107;&#23457;&#21028;&#24237;&#65288;&#20114;&#32852;&#32593;&#26696;&#20214;&#23457;&#21028;&#24237;&#65289;\&#21608;&#27849;&#27849;\&#32593;&#36141;&#25171;&#20551;&#26696;&#20214;&#32479;&#35745;\2017-2019&#24180;&#32467;&#2669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三年收案数!$A$2</c:f>
              <c:strCache>
                <c:ptCount val="1"/>
                <c:pt idx="0">
                  <c:v>结案</c:v>
                </c:pt>
              </c:strCache>
            </c:strRef>
          </c:tx>
          <c:dLbls>
            <c:showVal val="1"/>
          </c:dLbls>
          <c:cat>
            <c:numRef>
              <c:f>三年收案数!$B$1:$D$1</c:f>
              <c:numCache>
                <c:formatCode>General</c:formatCode>
                <c:ptCount val="3"/>
                <c:pt idx="0">
                  <c:v>2017</c:v>
                </c:pt>
                <c:pt idx="1">
                  <c:v>2018</c:v>
                </c:pt>
                <c:pt idx="2">
                  <c:v>2019</c:v>
                </c:pt>
              </c:numCache>
            </c:numRef>
          </c:cat>
          <c:val>
            <c:numRef>
              <c:f>三年收案数!$B$2:$D$2</c:f>
              <c:numCache>
                <c:formatCode>General</c:formatCode>
                <c:ptCount val="3"/>
                <c:pt idx="0">
                  <c:v>19</c:v>
                </c:pt>
                <c:pt idx="1">
                  <c:v>92</c:v>
                </c:pt>
                <c:pt idx="2">
                  <c:v>219</c:v>
                </c:pt>
              </c:numCache>
            </c:numRef>
          </c:val>
        </c:ser>
        <c:ser>
          <c:idx val="1"/>
          <c:order val="1"/>
          <c:tx>
            <c:strRef>
              <c:f>三年收案数!$A$3</c:f>
              <c:strCache>
                <c:ptCount val="1"/>
                <c:pt idx="0">
                  <c:v>收案</c:v>
                </c:pt>
              </c:strCache>
            </c:strRef>
          </c:tx>
          <c:dLbls>
            <c:showVal val="1"/>
          </c:dLbls>
          <c:cat>
            <c:numRef>
              <c:f>三年收案数!$B$1:$D$1</c:f>
              <c:numCache>
                <c:formatCode>General</c:formatCode>
                <c:ptCount val="3"/>
                <c:pt idx="0">
                  <c:v>2017</c:v>
                </c:pt>
                <c:pt idx="1">
                  <c:v>2018</c:v>
                </c:pt>
                <c:pt idx="2">
                  <c:v>2019</c:v>
                </c:pt>
              </c:numCache>
            </c:numRef>
          </c:cat>
          <c:val>
            <c:numRef>
              <c:f>三年收案数!$B$3:$D$3</c:f>
              <c:numCache>
                <c:formatCode>General</c:formatCode>
                <c:ptCount val="3"/>
                <c:pt idx="0">
                  <c:v>14</c:v>
                </c:pt>
                <c:pt idx="1">
                  <c:v>122</c:v>
                </c:pt>
                <c:pt idx="2">
                  <c:v>238</c:v>
                </c:pt>
              </c:numCache>
            </c:numRef>
          </c:val>
        </c:ser>
        <c:dLbls>
          <c:showVal val="1"/>
        </c:dLbls>
        <c:overlap val="-25"/>
        <c:axId val="134641152"/>
        <c:axId val="134642688"/>
      </c:barChart>
      <c:catAx>
        <c:axId val="134641152"/>
        <c:scaling>
          <c:orientation val="minMax"/>
        </c:scaling>
        <c:axPos val="l"/>
        <c:numFmt formatCode="General" sourceLinked="1"/>
        <c:majorTickMark val="none"/>
        <c:tickLblPos val="nextTo"/>
        <c:crossAx val="134642688"/>
        <c:crosses val="autoZero"/>
        <c:auto val="1"/>
        <c:lblAlgn val="ctr"/>
        <c:lblOffset val="100"/>
      </c:catAx>
      <c:valAx>
        <c:axId val="134642688"/>
        <c:scaling>
          <c:orientation val="minMax"/>
        </c:scaling>
        <c:delete val="1"/>
        <c:axPos val="b"/>
        <c:numFmt formatCode="General" sourceLinked="1"/>
        <c:majorTickMark val="none"/>
        <c:tickLblPos val="nextTo"/>
        <c:crossAx val="134641152"/>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dLbl>
              <c:idx val="0"/>
              <c:tx>
                <c:rich>
                  <a:bodyPr/>
                  <a:lstStyle/>
                  <a:p>
                    <a:r>
                      <a:rPr lang="en-US" altLang="zh-CN"/>
                      <a:t>72.4%</a:t>
                    </a:r>
                  </a:p>
                </c:rich>
              </c:tx>
              <c:showPercent val="1"/>
            </c:dLbl>
            <c:dLbl>
              <c:idx val="1"/>
              <c:tx>
                <c:rich>
                  <a:bodyPr/>
                  <a:lstStyle/>
                  <a:p>
                    <a:r>
                      <a:rPr lang="en-US" altLang="zh-CN"/>
                      <a:t>20.6%</a:t>
                    </a:r>
                  </a:p>
                </c:rich>
              </c:tx>
              <c:showPercent val="1"/>
            </c:dLbl>
            <c:showPercent val="1"/>
            <c:showLeaderLines val="1"/>
          </c:dLbls>
          <c:cat>
            <c:strRef>
              <c:f>涉及平台!$A$1:$E$1</c:f>
              <c:strCache>
                <c:ptCount val="5"/>
                <c:pt idx="0">
                  <c:v>拼多多</c:v>
                </c:pt>
                <c:pt idx="1">
                  <c:v>淘宝网</c:v>
                </c:pt>
                <c:pt idx="2">
                  <c:v>京东</c:v>
                </c:pt>
                <c:pt idx="3">
                  <c:v>1号店</c:v>
                </c:pt>
                <c:pt idx="4">
                  <c:v>百联、大润发网上商城、飞牛网、每日优鲜、苏宁易购、蜘蛛网等其他</c:v>
                </c:pt>
              </c:strCache>
            </c:strRef>
          </c:cat>
          <c:val>
            <c:numRef>
              <c:f>涉及平台!$A$2:$E$2</c:f>
              <c:numCache>
                <c:formatCode>General</c:formatCode>
                <c:ptCount val="5"/>
                <c:pt idx="0">
                  <c:v>239</c:v>
                </c:pt>
                <c:pt idx="1">
                  <c:v>68</c:v>
                </c:pt>
                <c:pt idx="2">
                  <c:v>9</c:v>
                </c:pt>
                <c:pt idx="3">
                  <c:v>3</c:v>
                </c:pt>
                <c:pt idx="4">
                  <c:v>11</c:v>
                </c:pt>
              </c:numCache>
            </c:numRef>
          </c:val>
        </c:ser>
        <c:dLbls>
          <c:showPercent val="1"/>
        </c:dLbls>
        <c:firstSliceAng val="0"/>
      </c:pie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explosion val="25"/>
          <c:dLbls>
            <c:showCatName val="1"/>
            <c:showPercent val="1"/>
          </c:dLbls>
          <c:cat>
            <c:strRef>
              <c:f>涉案商品类别!$A$1:$K$1</c:f>
              <c:strCache>
                <c:ptCount val="11"/>
                <c:pt idx="0">
                  <c:v>食品</c:v>
                </c:pt>
                <c:pt idx="1">
                  <c:v>保健品</c:v>
                </c:pt>
                <c:pt idx="2">
                  <c:v>数码产品</c:v>
                </c:pt>
                <c:pt idx="3">
                  <c:v>家电</c:v>
                </c:pt>
                <c:pt idx="4">
                  <c:v>化妆品</c:v>
                </c:pt>
                <c:pt idx="5">
                  <c:v>纺织品</c:v>
                </c:pt>
                <c:pt idx="6">
                  <c:v>服装配饰</c:v>
                </c:pt>
                <c:pt idx="7">
                  <c:v>书籍</c:v>
                </c:pt>
                <c:pt idx="8">
                  <c:v>家具</c:v>
                </c:pt>
                <c:pt idx="9">
                  <c:v>交通工具</c:v>
                </c:pt>
                <c:pt idx="10">
                  <c:v>其他</c:v>
                </c:pt>
              </c:strCache>
            </c:strRef>
          </c:cat>
          <c:val>
            <c:numRef>
              <c:f>涉案商品类别!$A$2:$K$2</c:f>
              <c:numCache>
                <c:formatCode>General</c:formatCode>
                <c:ptCount val="11"/>
                <c:pt idx="0">
                  <c:v>161</c:v>
                </c:pt>
                <c:pt idx="1">
                  <c:v>54</c:v>
                </c:pt>
                <c:pt idx="2">
                  <c:v>20</c:v>
                </c:pt>
                <c:pt idx="3">
                  <c:v>18</c:v>
                </c:pt>
                <c:pt idx="4">
                  <c:v>15</c:v>
                </c:pt>
                <c:pt idx="5">
                  <c:v>10</c:v>
                </c:pt>
                <c:pt idx="6">
                  <c:v>8</c:v>
                </c:pt>
                <c:pt idx="7">
                  <c:v>9</c:v>
                </c:pt>
                <c:pt idx="8">
                  <c:v>4</c:v>
                </c:pt>
                <c:pt idx="9">
                  <c:v>2</c:v>
                </c:pt>
                <c:pt idx="10">
                  <c:v>34</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explosion val="25"/>
          <c:dLbls>
            <c:dLbl>
              <c:idx val="9"/>
              <c:tx>
                <c:rich>
                  <a:bodyPr/>
                  <a:lstStyle/>
                  <a:p>
                    <a:r>
                      <a:rPr lang="en-US" altLang="en-US"/>
                      <a:t>22</a:t>
                    </a:r>
                    <a:r>
                      <a:rPr lang="en-US" altLang="zh-CN"/>
                      <a:t>.4</a:t>
                    </a:r>
                    <a:r>
                      <a:rPr lang="en-US" altLang="en-US"/>
                      <a:t>%</a:t>
                    </a:r>
                  </a:p>
                </c:rich>
              </c:tx>
              <c:showPercent val="1"/>
            </c:dLbl>
            <c:dLbl>
              <c:idx val="11"/>
              <c:tx>
                <c:rich>
                  <a:bodyPr/>
                  <a:lstStyle/>
                  <a:p>
                    <a:r>
                      <a:rPr lang="en-US" altLang="en-US"/>
                      <a:t>24.6%</a:t>
                    </a:r>
                  </a:p>
                </c:rich>
              </c:tx>
              <c:showPercent val="1"/>
            </c:dLbl>
            <c:showPercent val="1"/>
            <c:showLeaderLines val="1"/>
          </c:dLbls>
          <c:cat>
            <c:strRef>
              <c:f>涉案产品产地!$A$1:$T$1</c:f>
              <c:strCache>
                <c:ptCount val="20"/>
                <c:pt idx="0">
                  <c:v>澳大利亚</c:v>
                </c:pt>
                <c:pt idx="1">
                  <c:v>巴西</c:v>
                </c:pt>
                <c:pt idx="2">
                  <c:v>丹麦</c:v>
                </c:pt>
                <c:pt idx="3">
                  <c:v>德国</c:v>
                </c:pt>
                <c:pt idx="4">
                  <c:v>俄罗斯</c:v>
                </c:pt>
                <c:pt idx="5">
                  <c:v>法国</c:v>
                </c:pt>
                <c:pt idx="6">
                  <c:v>菲律宾</c:v>
                </c:pt>
                <c:pt idx="7">
                  <c:v>韩国</c:v>
                </c:pt>
                <c:pt idx="8">
                  <c:v>美国</c:v>
                </c:pt>
                <c:pt idx="9">
                  <c:v>日本</c:v>
                </c:pt>
                <c:pt idx="10">
                  <c:v>瑞士</c:v>
                </c:pt>
                <c:pt idx="11">
                  <c:v>泰国</c:v>
                </c:pt>
                <c:pt idx="12">
                  <c:v>西班牙</c:v>
                </c:pt>
                <c:pt idx="13">
                  <c:v>新加坡</c:v>
                </c:pt>
                <c:pt idx="14">
                  <c:v>新西兰</c:v>
                </c:pt>
                <c:pt idx="15">
                  <c:v>意大利</c:v>
                </c:pt>
                <c:pt idx="16">
                  <c:v>印度尼西亚</c:v>
                </c:pt>
                <c:pt idx="17">
                  <c:v>英国</c:v>
                </c:pt>
                <c:pt idx="18">
                  <c:v>越南</c:v>
                </c:pt>
                <c:pt idx="19">
                  <c:v>我国香港地区</c:v>
                </c:pt>
              </c:strCache>
            </c:strRef>
          </c:cat>
          <c:val>
            <c:numRef>
              <c:f>涉案产品产地!$A$2:$T$2</c:f>
              <c:numCache>
                <c:formatCode>General</c:formatCode>
                <c:ptCount val="20"/>
                <c:pt idx="0">
                  <c:v>11</c:v>
                </c:pt>
                <c:pt idx="1">
                  <c:v>2</c:v>
                </c:pt>
                <c:pt idx="2">
                  <c:v>1</c:v>
                </c:pt>
                <c:pt idx="3">
                  <c:v>2</c:v>
                </c:pt>
                <c:pt idx="4">
                  <c:v>2</c:v>
                </c:pt>
                <c:pt idx="5">
                  <c:v>5</c:v>
                </c:pt>
                <c:pt idx="6">
                  <c:v>6</c:v>
                </c:pt>
                <c:pt idx="7">
                  <c:v>6</c:v>
                </c:pt>
                <c:pt idx="8">
                  <c:v>14</c:v>
                </c:pt>
                <c:pt idx="9">
                  <c:v>30</c:v>
                </c:pt>
                <c:pt idx="10">
                  <c:v>1</c:v>
                </c:pt>
                <c:pt idx="11">
                  <c:v>33</c:v>
                </c:pt>
                <c:pt idx="12">
                  <c:v>3</c:v>
                </c:pt>
                <c:pt idx="13">
                  <c:v>1</c:v>
                </c:pt>
                <c:pt idx="14">
                  <c:v>2</c:v>
                </c:pt>
                <c:pt idx="15">
                  <c:v>3</c:v>
                </c:pt>
                <c:pt idx="16">
                  <c:v>2</c:v>
                </c:pt>
                <c:pt idx="17">
                  <c:v>3</c:v>
                </c:pt>
                <c:pt idx="18">
                  <c:v>6</c:v>
                </c:pt>
                <c:pt idx="19">
                  <c:v>1</c:v>
                </c:pt>
              </c:numCache>
            </c:numRef>
          </c:val>
        </c:ser>
        <c:dLbls>
          <c:showPercent val="1"/>
        </c:dLbls>
      </c:pie3DChart>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75"/>
      <c:rAngAx val="1"/>
    </c:view3D>
    <c:plotArea>
      <c:layout/>
      <c:pie3DChart>
        <c:varyColors val="1"/>
        <c:ser>
          <c:idx val="0"/>
          <c:order val="0"/>
          <c:explosion val="25"/>
          <c:cat>
            <c:strRef>
              <c:f>诉请依据!$A$1:$C$1</c:f>
              <c:strCache>
                <c:ptCount val="3"/>
                <c:pt idx="0">
                  <c:v>三无、假货类产品</c:v>
                </c:pt>
                <c:pt idx="1">
                  <c:v>无中文标签和检验检疫合格证明类</c:v>
                </c:pt>
                <c:pt idx="2">
                  <c:v>冒用他人公司字号、虚构生产企业、无食品、保健品或化妆品生产许可批文等其他</c:v>
                </c:pt>
              </c:strCache>
            </c:strRef>
          </c:cat>
          <c:val>
            <c:numRef>
              <c:f>诉请依据!$A$2:$C$2</c:f>
              <c:numCache>
                <c:formatCode>General</c:formatCode>
                <c:ptCount val="3"/>
                <c:pt idx="0">
                  <c:v>113</c:v>
                </c:pt>
                <c:pt idx="1">
                  <c:v>109</c:v>
                </c:pt>
                <c:pt idx="2">
                  <c:v>111</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dLbls>
            <c:showVal val="1"/>
          </c:dLbls>
          <c:cat>
            <c:strRef>
              <c:f>审结方式!$A$1:$E$1</c:f>
              <c:strCache>
                <c:ptCount val="5"/>
                <c:pt idx="0">
                  <c:v>调解</c:v>
                </c:pt>
                <c:pt idx="1">
                  <c:v>和解撤诉</c:v>
                </c:pt>
                <c:pt idx="2">
                  <c:v>其他撤诉</c:v>
                </c:pt>
                <c:pt idx="3">
                  <c:v>判决</c:v>
                </c:pt>
                <c:pt idx="4">
                  <c:v>移送、驳回起诉等</c:v>
                </c:pt>
              </c:strCache>
            </c:strRef>
          </c:cat>
          <c:val>
            <c:numRef>
              <c:f>审结方式!$A$2:$E$2</c:f>
              <c:numCache>
                <c:formatCode>General</c:formatCode>
                <c:ptCount val="5"/>
                <c:pt idx="0">
                  <c:v>26</c:v>
                </c:pt>
                <c:pt idx="1">
                  <c:v>225</c:v>
                </c:pt>
                <c:pt idx="2">
                  <c:v>24</c:v>
                </c:pt>
                <c:pt idx="3">
                  <c:v>50</c:v>
                </c:pt>
                <c:pt idx="4">
                  <c:v>5</c:v>
                </c:pt>
              </c:numCache>
            </c:numRef>
          </c:val>
        </c:ser>
        <c:dLbls>
          <c:showVal val="1"/>
        </c:dLbls>
        <c:overlap val="-25"/>
        <c:axId val="134702592"/>
        <c:axId val="134704128"/>
      </c:barChart>
      <c:catAx>
        <c:axId val="134702592"/>
        <c:scaling>
          <c:orientation val="minMax"/>
        </c:scaling>
        <c:axPos val="l"/>
        <c:majorTickMark val="none"/>
        <c:tickLblPos val="nextTo"/>
        <c:crossAx val="134704128"/>
        <c:crosses val="autoZero"/>
        <c:auto val="1"/>
        <c:lblAlgn val="ctr"/>
        <c:lblOffset val="100"/>
      </c:catAx>
      <c:valAx>
        <c:axId val="134704128"/>
        <c:scaling>
          <c:orientation val="minMax"/>
        </c:scaling>
        <c:delete val="1"/>
        <c:axPos val="b"/>
        <c:numFmt formatCode="General" sourceLinked="1"/>
        <c:majorTickMark val="none"/>
        <c:tickLblPos val="nextTo"/>
        <c:crossAx val="134702592"/>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cat>
            <c:strRef>
              <c:f>诉讼表的!$A$1:$E$1</c:f>
              <c:strCache>
                <c:ptCount val="5"/>
                <c:pt idx="0">
                  <c:v>0-1000元（含1000元）</c:v>
                </c:pt>
                <c:pt idx="1">
                  <c:v>1000-1万元（含1万）</c:v>
                </c:pt>
                <c:pt idx="2">
                  <c:v>1万元至5万元（含5万）</c:v>
                </c:pt>
                <c:pt idx="3">
                  <c:v>5万元至10万元（含10万）</c:v>
                </c:pt>
                <c:pt idx="4">
                  <c:v>10万元以上</c:v>
                </c:pt>
              </c:strCache>
            </c:strRef>
          </c:cat>
          <c:val>
            <c:numRef>
              <c:f>诉讼表的!$A$2:$E$2</c:f>
              <c:numCache>
                <c:formatCode>General</c:formatCode>
                <c:ptCount val="5"/>
                <c:pt idx="0">
                  <c:v>4</c:v>
                </c:pt>
                <c:pt idx="1">
                  <c:v>86</c:v>
                </c:pt>
                <c:pt idx="2">
                  <c:v>194</c:v>
                </c:pt>
                <c:pt idx="3">
                  <c:v>35</c:v>
                </c:pt>
                <c:pt idx="4">
                  <c:v>11</c:v>
                </c:pt>
              </c:numCache>
            </c:numRef>
          </c:val>
        </c:ser>
        <c:shape val="cylinder"/>
        <c:axId val="134727936"/>
        <c:axId val="133304320"/>
        <c:axId val="0"/>
      </c:bar3DChart>
      <c:catAx>
        <c:axId val="134727936"/>
        <c:scaling>
          <c:orientation val="minMax"/>
        </c:scaling>
        <c:axPos val="b"/>
        <c:tickLblPos val="nextTo"/>
        <c:crossAx val="133304320"/>
        <c:crosses val="autoZero"/>
        <c:auto val="1"/>
        <c:lblAlgn val="ctr"/>
        <c:lblOffset val="100"/>
      </c:catAx>
      <c:valAx>
        <c:axId val="133304320"/>
        <c:scaling>
          <c:orientation val="minMax"/>
        </c:scaling>
        <c:axPos val="l"/>
        <c:majorGridlines/>
        <c:numFmt formatCode="General" sourceLinked="1"/>
        <c:tickLblPos val="nextTo"/>
        <c:crossAx val="13472793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barChart>
        <c:barDir val="col"/>
        <c:grouping val="clustered"/>
        <c:ser>
          <c:idx val="0"/>
          <c:order val="0"/>
          <c:tx>
            <c:strRef>
              <c:f>律师参与度!$B$1</c:f>
              <c:strCache>
                <c:ptCount val="1"/>
                <c:pt idx="0">
                  <c:v>原告委托律师</c:v>
                </c:pt>
              </c:strCache>
            </c:strRef>
          </c:tx>
          <c:dLbls>
            <c:showVal val="1"/>
          </c:dLbls>
          <c:cat>
            <c:strRef>
              <c:f>律师参与度!$A$2:$A$4</c:f>
              <c:strCache>
                <c:ptCount val="3"/>
                <c:pt idx="0">
                  <c:v>2017年</c:v>
                </c:pt>
                <c:pt idx="1">
                  <c:v>2018年</c:v>
                </c:pt>
                <c:pt idx="2">
                  <c:v>2019年</c:v>
                </c:pt>
              </c:strCache>
            </c:strRef>
          </c:cat>
          <c:val>
            <c:numRef>
              <c:f>律师参与度!$B$2:$B$4</c:f>
              <c:numCache>
                <c:formatCode>General</c:formatCode>
                <c:ptCount val="3"/>
                <c:pt idx="0">
                  <c:v>3</c:v>
                </c:pt>
                <c:pt idx="1">
                  <c:v>5</c:v>
                </c:pt>
                <c:pt idx="2">
                  <c:v>48</c:v>
                </c:pt>
              </c:numCache>
            </c:numRef>
          </c:val>
        </c:ser>
        <c:ser>
          <c:idx val="1"/>
          <c:order val="1"/>
          <c:tx>
            <c:strRef>
              <c:f>律师参与度!$C$1</c:f>
              <c:strCache>
                <c:ptCount val="1"/>
                <c:pt idx="0">
                  <c:v>结案数</c:v>
                </c:pt>
              </c:strCache>
            </c:strRef>
          </c:tx>
          <c:dLbls>
            <c:showVal val="1"/>
          </c:dLbls>
          <c:cat>
            <c:strRef>
              <c:f>律师参与度!$A$2:$A$4</c:f>
              <c:strCache>
                <c:ptCount val="3"/>
                <c:pt idx="0">
                  <c:v>2017年</c:v>
                </c:pt>
                <c:pt idx="1">
                  <c:v>2018年</c:v>
                </c:pt>
                <c:pt idx="2">
                  <c:v>2019年</c:v>
                </c:pt>
              </c:strCache>
            </c:strRef>
          </c:cat>
          <c:val>
            <c:numRef>
              <c:f>律师参与度!$C$2:$C$4</c:f>
              <c:numCache>
                <c:formatCode>General</c:formatCode>
                <c:ptCount val="3"/>
                <c:pt idx="0">
                  <c:v>19</c:v>
                </c:pt>
                <c:pt idx="1">
                  <c:v>92</c:v>
                </c:pt>
                <c:pt idx="2">
                  <c:v>219</c:v>
                </c:pt>
              </c:numCache>
            </c:numRef>
          </c:val>
        </c:ser>
        <c:dLbls>
          <c:showVal val="1"/>
        </c:dLbls>
        <c:overlap val="-25"/>
        <c:axId val="133316992"/>
        <c:axId val="133318528"/>
      </c:barChart>
      <c:catAx>
        <c:axId val="133316992"/>
        <c:scaling>
          <c:orientation val="minMax"/>
        </c:scaling>
        <c:axPos val="b"/>
        <c:majorTickMark val="none"/>
        <c:tickLblPos val="nextTo"/>
        <c:crossAx val="133318528"/>
        <c:crosses val="autoZero"/>
        <c:auto val="1"/>
        <c:lblAlgn val="ctr"/>
        <c:lblOffset val="100"/>
      </c:catAx>
      <c:valAx>
        <c:axId val="133318528"/>
        <c:scaling>
          <c:orientation val="minMax"/>
        </c:scaling>
        <c:delete val="1"/>
        <c:axPos val="l"/>
        <c:numFmt formatCode="General" sourceLinked="1"/>
        <c:tickLblPos val="nextTo"/>
        <c:crossAx val="133316992"/>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80AC4-DD23-4A66-9D7B-88657479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CNFY</dc:creator>
  <cp:lastModifiedBy>user</cp:lastModifiedBy>
  <cp:revision>10</cp:revision>
  <cp:lastPrinted>2019-12-16T10:20:00Z</cp:lastPrinted>
  <dcterms:created xsi:type="dcterms:W3CDTF">2019-12-29T03:09:00Z</dcterms:created>
  <dcterms:modified xsi:type="dcterms:W3CDTF">2020-01-06T05:41:00Z</dcterms:modified>
</cp:coreProperties>
</file>