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8B8" w:rsidRPr="00675F83" w:rsidRDefault="009E08B8">
      <w:pPr>
        <w:spacing w:line="360" w:lineRule="auto"/>
        <w:jc w:val="center"/>
        <w:rPr>
          <w:rFonts w:ascii="宋体" w:hAnsi="宋体"/>
          <w:b/>
          <w:sz w:val="30"/>
          <w:szCs w:val="30"/>
        </w:rPr>
      </w:pPr>
    </w:p>
    <w:p w:rsidR="009E08B8" w:rsidRPr="00675F83" w:rsidRDefault="009E08B8">
      <w:pPr>
        <w:spacing w:line="360" w:lineRule="auto"/>
        <w:jc w:val="center"/>
        <w:rPr>
          <w:rFonts w:ascii="宋体" w:hAnsi="宋体"/>
          <w:b/>
          <w:sz w:val="30"/>
          <w:szCs w:val="30"/>
        </w:rPr>
      </w:pPr>
    </w:p>
    <w:p w:rsidR="00390EB0" w:rsidRDefault="00390EB0" w:rsidP="00025331">
      <w:pPr>
        <w:spacing w:line="360" w:lineRule="auto"/>
        <w:jc w:val="center"/>
        <w:rPr>
          <w:rFonts w:ascii="黑体" w:eastAsia="黑体" w:hAnsi="黑体" w:hint="eastAsia"/>
          <w:b/>
          <w:sz w:val="36"/>
          <w:szCs w:val="30"/>
        </w:rPr>
      </w:pPr>
      <w:r>
        <w:rPr>
          <w:rFonts w:ascii="黑体" w:eastAsia="黑体" w:hAnsi="黑体" w:hint="eastAsia"/>
          <w:b/>
          <w:sz w:val="36"/>
          <w:szCs w:val="30"/>
        </w:rPr>
        <w:t>上海市</w:t>
      </w:r>
      <w:r w:rsidR="00062DC9" w:rsidRPr="00675F83">
        <w:rPr>
          <w:rFonts w:ascii="黑体" w:eastAsia="黑体" w:hAnsi="黑体" w:hint="eastAsia"/>
          <w:b/>
          <w:sz w:val="36"/>
          <w:szCs w:val="30"/>
        </w:rPr>
        <w:t>静安区人民法院</w:t>
      </w:r>
    </w:p>
    <w:p w:rsidR="000F5D50" w:rsidRPr="00675F83" w:rsidRDefault="00BA174B" w:rsidP="00025331">
      <w:pPr>
        <w:spacing w:line="360" w:lineRule="auto"/>
        <w:jc w:val="center"/>
        <w:rPr>
          <w:rFonts w:ascii="黑体" w:eastAsia="黑体" w:hAnsi="黑体"/>
          <w:b/>
          <w:sz w:val="36"/>
          <w:szCs w:val="30"/>
        </w:rPr>
      </w:pPr>
      <w:r w:rsidRPr="00675F83">
        <w:rPr>
          <w:rFonts w:ascii="黑体" w:eastAsia="黑体" w:hAnsi="黑体" w:hint="eastAsia"/>
          <w:b/>
          <w:sz w:val="36"/>
          <w:szCs w:val="30"/>
        </w:rPr>
        <w:t>2020年度</w:t>
      </w:r>
      <w:r w:rsidR="00884856" w:rsidRPr="00675F83">
        <w:rPr>
          <w:rFonts w:ascii="黑体" w:eastAsia="黑体" w:hAnsi="黑体" w:hint="eastAsia"/>
          <w:b/>
          <w:sz w:val="36"/>
          <w:szCs w:val="30"/>
        </w:rPr>
        <w:t>涉老民事案件审判白皮书</w:t>
      </w:r>
    </w:p>
    <w:p w:rsidR="00062DC9" w:rsidRPr="00675F83" w:rsidRDefault="00062DC9" w:rsidP="000F5D50">
      <w:pPr>
        <w:spacing w:line="360" w:lineRule="auto"/>
        <w:jc w:val="right"/>
        <w:rPr>
          <w:rFonts w:ascii="黑体" w:eastAsia="黑体" w:hAnsi="黑体"/>
          <w:b/>
          <w:sz w:val="32"/>
          <w:szCs w:val="32"/>
        </w:rPr>
      </w:pPr>
      <w:r w:rsidRPr="00675F83">
        <w:rPr>
          <w:rFonts w:ascii="黑体" w:eastAsia="黑体" w:hAnsi="黑体" w:hint="eastAsia"/>
          <w:b/>
          <w:sz w:val="36"/>
          <w:szCs w:val="30"/>
        </w:rPr>
        <w:t xml:space="preserve">         </w:t>
      </w:r>
      <w:r w:rsidR="0006349D" w:rsidRPr="00675F83">
        <w:rPr>
          <w:rFonts w:ascii="黑体" w:eastAsia="黑体" w:hAnsi="黑体" w:hint="eastAsia"/>
          <w:b/>
          <w:sz w:val="36"/>
          <w:szCs w:val="30"/>
        </w:rPr>
        <w:t xml:space="preserve">        </w:t>
      </w:r>
      <w:r w:rsidR="00BA174B" w:rsidRPr="00675F83">
        <w:rPr>
          <w:rFonts w:ascii="黑体" w:eastAsia="黑体" w:hAnsi="黑体" w:hint="eastAsia"/>
          <w:b/>
          <w:sz w:val="36"/>
          <w:szCs w:val="30"/>
        </w:rPr>
        <w:t xml:space="preserve"> </w:t>
      </w:r>
      <w:r w:rsidRPr="00675F83">
        <w:rPr>
          <w:rFonts w:ascii="黑体" w:eastAsia="黑体" w:hAnsi="黑体" w:hint="eastAsia"/>
          <w:b/>
          <w:sz w:val="32"/>
          <w:szCs w:val="32"/>
        </w:rPr>
        <w:t>——纪念涉老审判三十周年</w:t>
      </w:r>
    </w:p>
    <w:p w:rsidR="009E08B8" w:rsidRPr="00675F83" w:rsidRDefault="009E08B8" w:rsidP="009D1EA8">
      <w:pPr>
        <w:adjustRightInd w:val="0"/>
        <w:snapToGrid w:val="0"/>
        <w:spacing w:line="520" w:lineRule="exact"/>
        <w:ind w:firstLineChars="200" w:firstLine="600"/>
        <w:rPr>
          <w:rFonts w:ascii="宋体" w:hAnsi="宋体"/>
          <w:sz w:val="30"/>
          <w:szCs w:val="30"/>
        </w:rPr>
      </w:pPr>
    </w:p>
    <w:p w:rsidR="002F6BEC" w:rsidRPr="00675F83" w:rsidRDefault="002C1132" w:rsidP="009D1EA8">
      <w:pPr>
        <w:adjustRightInd w:val="0"/>
        <w:snapToGrid w:val="0"/>
        <w:spacing w:line="520" w:lineRule="exact"/>
        <w:jc w:val="center"/>
        <w:rPr>
          <w:rFonts w:ascii="黑体" w:eastAsia="黑体" w:hAnsi="黑体"/>
          <w:b/>
          <w:sz w:val="32"/>
          <w:szCs w:val="32"/>
        </w:rPr>
      </w:pPr>
      <w:r w:rsidRPr="00675F83">
        <w:rPr>
          <w:rFonts w:ascii="黑体" w:eastAsia="黑体" w:hAnsi="黑体" w:hint="eastAsia"/>
          <w:b/>
          <w:sz w:val="32"/>
          <w:szCs w:val="32"/>
        </w:rPr>
        <w:t>导语</w:t>
      </w:r>
    </w:p>
    <w:p w:rsidR="00483DDC" w:rsidRPr="00675F83" w:rsidRDefault="00483DDC" w:rsidP="009D1EA8">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 xml:space="preserve">1991年，针对区域人口老龄化程度高的特点，上海市静安区人民法院（以下简称静安法院）在全国率先探索在民事审判庭内设老年法庭，专门审理涉及当事人为60周岁以上老年人的合同、侵权、婚姻家庭、特别程序等民事案件。1994年，在该老年法庭的基础上成立了全国首个内设机构单列的老年审判庭。2001年，因内设机构改革，更名为民事审判第三庭。2016年，因原静安法院与原闸北法院“撤二建一”，更名为民事审判第五庭。2018年，因内设机构改革，更名为现在的涉老审判团队。至2021年，静安法院涉老民事纠纷的专门审判工作已走过整整三十年。三十年来，静安法院涉老民事审判始终坚持“司法护老”的理念，在根据老年人的生理、心理特点依法审判的同时，积极开展审判延伸工作，拓展多元纠纷解决机制，不断探索涉老民事审判工作的新途径，全力维护老年人的合法权益。 </w:t>
      </w:r>
    </w:p>
    <w:p w:rsidR="00483DDC" w:rsidRPr="00675F83" w:rsidRDefault="00483DDC" w:rsidP="00C066CE">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2011年，静安法院首次向社会发布《2010年度涉老案件司法情况报告》，迄今共计发布10份涉老民事案件年度审判白皮书，从案件类型、结案方式、涉诉情况等多方面介绍涉老民事审判工作，通过分析涉老民事纠纷多发案件特点，有针对性地提出加强老年人权益保护的建议。可以说，涉老民事审判白皮书已逐渐成为静安法院的业务品牌和特色工作，近五年的涉老</w:t>
      </w:r>
      <w:r w:rsidR="00867B00" w:rsidRPr="00117446">
        <w:rPr>
          <w:rFonts w:ascii="宋体" w:hAnsi="宋体" w:hint="eastAsia"/>
          <w:sz w:val="28"/>
          <w:szCs w:val="28"/>
        </w:rPr>
        <w:t>民事</w:t>
      </w:r>
      <w:r w:rsidR="000D2338" w:rsidRPr="00117446">
        <w:rPr>
          <w:rFonts w:ascii="宋体" w:hAnsi="宋体" w:hint="eastAsia"/>
          <w:sz w:val="28"/>
          <w:szCs w:val="28"/>
        </w:rPr>
        <w:t>案件</w:t>
      </w:r>
      <w:r w:rsidRPr="00675F83">
        <w:rPr>
          <w:rFonts w:ascii="宋体" w:hAnsi="宋体" w:hint="eastAsia"/>
          <w:sz w:val="28"/>
          <w:szCs w:val="28"/>
        </w:rPr>
        <w:t>审判白皮书被上海市老龄委</w:t>
      </w:r>
      <w:r w:rsidRPr="00675F83">
        <w:rPr>
          <w:rFonts w:ascii="宋体" w:hAnsi="宋体" w:hint="eastAsia"/>
          <w:sz w:val="28"/>
          <w:szCs w:val="28"/>
        </w:rPr>
        <w:lastRenderedPageBreak/>
        <w:t>《上海老龄科学》全文刊发，2019年度涉老民事案件审判白皮书获评上海法院优秀白皮书，2020年度涉老民事案件审判白皮书新闻发布会列入上海法院推进司法高质量发展系列发布会，入选上海法院“五佳”新闻发布会。</w:t>
      </w:r>
    </w:p>
    <w:p w:rsidR="00483DDC" w:rsidRPr="00675F83" w:rsidRDefault="00483DDC" w:rsidP="00C066CE">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2021年，适逢涉老民事审判三十周年之际，静安法院发布涉老民事案件审判白皮书，通过涉老民事审判实践反映社会发展态势，以2011年至2020年这十年涉老民事审判大数据为基础，紧扣老年权益保护热点，结合典型案例类案分析，全方位、多角度地反映静安法院近十年的涉老民事案件审判总体工作情况。</w:t>
      </w:r>
    </w:p>
    <w:p w:rsidR="00483DDC" w:rsidRPr="00675F83" w:rsidRDefault="00483DDC" w:rsidP="00C066CE">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砥砺三十年，再踏新征程。静安法院涉老审判团队将坚守初心，担当重任，再次出发，切实履行司法为民职能，弘扬尊老敬老的社会风尚。</w:t>
      </w:r>
      <w:r w:rsidR="001C3940">
        <w:rPr>
          <w:rFonts w:ascii="宋体" w:hAnsi="宋体" w:hint="eastAsia"/>
          <w:sz w:val="28"/>
          <w:szCs w:val="28"/>
        </w:rPr>
        <w:t xml:space="preserve"> </w:t>
      </w:r>
    </w:p>
    <w:p w:rsidR="002C1132" w:rsidRPr="00675F83" w:rsidRDefault="002C1132" w:rsidP="004F4241">
      <w:pPr>
        <w:adjustRightInd w:val="0"/>
        <w:snapToGrid w:val="0"/>
        <w:spacing w:line="536" w:lineRule="exact"/>
        <w:ind w:firstLineChars="200" w:firstLine="560"/>
        <w:rPr>
          <w:rFonts w:ascii="宋体" w:hAnsi="宋体"/>
          <w:sz w:val="28"/>
          <w:szCs w:val="28"/>
        </w:rPr>
      </w:pPr>
    </w:p>
    <w:p w:rsidR="002C1132" w:rsidRPr="00675F83" w:rsidRDefault="002C1132" w:rsidP="00CC7D50">
      <w:pPr>
        <w:adjustRightInd w:val="0"/>
        <w:snapToGrid w:val="0"/>
        <w:spacing w:line="360" w:lineRule="auto"/>
        <w:ind w:firstLineChars="200" w:firstLine="600"/>
        <w:rPr>
          <w:rFonts w:ascii="宋体" w:hAnsi="宋体"/>
          <w:sz w:val="30"/>
          <w:szCs w:val="30"/>
        </w:rPr>
      </w:pPr>
    </w:p>
    <w:p w:rsidR="002C1132" w:rsidRPr="00675F83" w:rsidRDefault="002C1132" w:rsidP="002C1132">
      <w:pPr>
        <w:ind w:firstLineChars="200" w:firstLine="600"/>
        <w:rPr>
          <w:rFonts w:ascii="宋体" w:hAnsi="宋体"/>
          <w:sz w:val="30"/>
          <w:szCs w:val="30"/>
        </w:rPr>
      </w:pPr>
    </w:p>
    <w:p w:rsidR="002C1132" w:rsidRPr="00675F83" w:rsidRDefault="002C1132" w:rsidP="002C1132">
      <w:pPr>
        <w:ind w:firstLineChars="200" w:firstLine="600"/>
        <w:rPr>
          <w:rFonts w:ascii="宋体" w:hAnsi="宋体"/>
          <w:sz w:val="30"/>
          <w:szCs w:val="30"/>
        </w:rPr>
      </w:pPr>
    </w:p>
    <w:p w:rsidR="002C1132" w:rsidRPr="00675F83" w:rsidRDefault="00BF15E1" w:rsidP="00C066CE">
      <w:pPr>
        <w:adjustRightInd w:val="0"/>
        <w:snapToGrid w:val="0"/>
        <w:spacing w:line="520" w:lineRule="exact"/>
        <w:jc w:val="center"/>
        <w:rPr>
          <w:rFonts w:ascii="黑体" w:eastAsia="黑体" w:hAnsi="黑体"/>
          <w:b/>
          <w:sz w:val="32"/>
          <w:szCs w:val="32"/>
        </w:rPr>
      </w:pPr>
      <w:r w:rsidRPr="00675F83">
        <w:rPr>
          <w:rFonts w:ascii="宋体" w:hAnsi="宋体"/>
          <w:sz w:val="30"/>
          <w:szCs w:val="30"/>
        </w:rPr>
        <w:br w:type="page"/>
      </w:r>
      <w:r w:rsidR="002C1132" w:rsidRPr="00675F83">
        <w:rPr>
          <w:rFonts w:ascii="黑体" w:eastAsia="黑体" w:hAnsi="黑体" w:hint="eastAsia"/>
          <w:b/>
          <w:sz w:val="32"/>
          <w:szCs w:val="32"/>
        </w:rPr>
        <w:lastRenderedPageBreak/>
        <w:t>回顾编·守初心</w:t>
      </w:r>
    </w:p>
    <w:p w:rsidR="00D2782C" w:rsidRPr="00675F83" w:rsidRDefault="00D2782C" w:rsidP="00C066CE">
      <w:pPr>
        <w:adjustRightInd w:val="0"/>
        <w:snapToGrid w:val="0"/>
        <w:spacing w:line="520" w:lineRule="exact"/>
        <w:ind w:firstLineChars="200" w:firstLine="643"/>
        <w:rPr>
          <w:rFonts w:ascii="黑体" w:eastAsia="黑体" w:hAnsi="黑体"/>
          <w:b/>
          <w:sz w:val="32"/>
          <w:szCs w:val="30"/>
        </w:rPr>
      </w:pPr>
      <w:r w:rsidRPr="00675F83">
        <w:rPr>
          <w:rFonts w:ascii="黑体" w:eastAsia="黑体" w:hAnsi="黑体" w:hint="eastAsia"/>
          <w:b/>
          <w:sz w:val="32"/>
          <w:szCs w:val="30"/>
        </w:rPr>
        <w:t>一、2011</w:t>
      </w:r>
      <w:r w:rsidR="00483DDC" w:rsidRPr="00675F83">
        <w:rPr>
          <w:rFonts w:ascii="黑体" w:eastAsia="黑体" w:hAnsi="黑体" w:hint="eastAsia"/>
          <w:b/>
          <w:sz w:val="32"/>
          <w:szCs w:val="30"/>
        </w:rPr>
        <w:t>年至</w:t>
      </w:r>
      <w:r w:rsidRPr="00675F83">
        <w:rPr>
          <w:rFonts w:ascii="黑体" w:eastAsia="黑体" w:hAnsi="黑体" w:hint="eastAsia"/>
          <w:b/>
          <w:sz w:val="32"/>
          <w:szCs w:val="30"/>
        </w:rPr>
        <w:t>2020年涉老民事审判概况</w:t>
      </w:r>
    </w:p>
    <w:p w:rsidR="00D2782C" w:rsidRPr="00675F83" w:rsidRDefault="00D2782C" w:rsidP="00C066CE">
      <w:pPr>
        <w:adjustRightInd w:val="0"/>
        <w:snapToGrid w:val="0"/>
        <w:spacing w:line="520" w:lineRule="exact"/>
        <w:ind w:firstLineChars="200" w:firstLine="602"/>
        <w:rPr>
          <w:rFonts w:ascii="楷体" w:eastAsia="楷体" w:hAnsi="楷体"/>
          <w:b/>
          <w:sz w:val="30"/>
          <w:szCs w:val="30"/>
        </w:rPr>
      </w:pPr>
      <w:r w:rsidRPr="00675F83">
        <w:rPr>
          <w:rFonts w:ascii="楷体" w:eastAsia="楷体" w:hAnsi="楷体" w:hint="eastAsia"/>
          <w:b/>
          <w:sz w:val="30"/>
          <w:szCs w:val="30"/>
        </w:rPr>
        <w:t>（一）案件审理情况</w:t>
      </w:r>
    </w:p>
    <w:p w:rsidR="00D2782C" w:rsidRPr="00675F83" w:rsidRDefault="00D2782C" w:rsidP="00C066CE">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2011年至2020年，静安法院共受理涉老民事案件9</w:t>
      </w:r>
      <w:r w:rsidR="00EA7D50" w:rsidRPr="00675F83">
        <w:rPr>
          <w:rFonts w:ascii="宋体" w:hAnsi="宋体" w:hint="eastAsia"/>
          <w:sz w:val="28"/>
          <w:szCs w:val="28"/>
        </w:rPr>
        <w:t>,</w:t>
      </w:r>
      <w:r w:rsidRPr="00675F83">
        <w:rPr>
          <w:rFonts w:ascii="宋体" w:hAnsi="宋体" w:hint="eastAsia"/>
          <w:sz w:val="28"/>
          <w:szCs w:val="28"/>
        </w:rPr>
        <w:t>381件，审结9</w:t>
      </w:r>
      <w:r w:rsidR="00EA7D50" w:rsidRPr="00675F83">
        <w:rPr>
          <w:rFonts w:ascii="宋体" w:hAnsi="宋体" w:hint="eastAsia"/>
          <w:sz w:val="28"/>
          <w:szCs w:val="28"/>
        </w:rPr>
        <w:t>,</w:t>
      </w:r>
      <w:r w:rsidRPr="00675F83">
        <w:rPr>
          <w:rFonts w:ascii="宋体" w:hAnsi="宋体" w:hint="eastAsia"/>
          <w:sz w:val="28"/>
          <w:szCs w:val="28"/>
        </w:rPr>
        <w:t>162</w:t>
      </w:r>
      <w:r w:rsidR="00A93FF2" w:rsidRPr="00675F83">
        <w:rPr>
          <w:rFonts w:ascii="宋体" w:hAnsi="宋体" w:hint="eastAsia"/>
          <w:sz w:val="28"/>
          <w:szCs w:val="28"/>
        </w:rPr>
        <w:t>件；2021年1</w:t>
      </w:r>
      <w:r w:rsidR="00D9003C" w:rsidRPr="00675F83">
        <w:rPr>
          <w:rFonts w:ascii="宋体" w:hAnsi="宋体" w:hint="eastAsia"/>
          <w:sz w:val="28"/>
          <w:szCs w:val="28"/>
        </w:rPr>
        <w:t>月</w:t>
      </w:r>
      <w:r w:rsidR="00A93FF2" w:rsidRPr="00675F83">
        <w:rPr>
          <w:rFonts w:ascii="宋体" w:hAnsi="宋体" w:hint="eastAsia"/>
          <w:sz w:val="28"/>
          <w:szCs w:val="28"/>
        </w:rPr>
        <w:t>至9</w:t>
      </w:r>
      <w:r w:rsidR="00D9003C" w:rsidRPr="00675F83">
        <w:rPr>
          <w:rFonts w:ascii="宋体" w:hAnsi="宋体" w:hint="eastAsia"/>
          <w:sz w:val="28"/>
          <w:szCs w:val="28"/>
        </w:rPr>
        <w:t>月</w:t>
      </w:r>
      <w:r w:rsidR="00A93FF2" w:rsidRPr="00675F83">
        <w:rPr>
          <w:rFonts w:ascii="宋体" w:hAnsi="宋体" w:hint="eastAsia"/>
          <w:sz w:val="28"/>
          <w:szCs w:val="28"/>
        </w:rPr>
        <w:t>，静安法院已受理涉老民事案件</w:t>
      </w:r>
      <w:r w:rsidR="001A3436" w:rsidRPr="00675F83">
        <w:rPr>
          <w:rFonts w:ascii="宋体" w:hAnsi="宋体" w:hint="eastAsia"/>
          <w:sz w:val="28"/>
          <w:szCs w:val="28"/>
        </w:rPr>
        <w:t>95</w:t>
      </w:r>
      <w:r w:rsidR="00BE0A13" w:rsidRPr="00675F83">
        <w:rPr>
          <w:rFonts w:ascii="宋体" w:hAnsi="宋体" w:hint="eastAsia"/>
          <w:sz w:val="28"/>
          <w:szCs w:val="28"/>
        </w:rPr>
        <w:t>4</w:t>
      </w:r>
      <w:r w:rsidR="00A93FF2" w:rsidRPr="00675F83">
        <w:rPr>
          <w:rFonts w:ascii="宋体" w:hAnsi="宋体" w:hint="eastAsia"/>
          <w:sz w:val="28"/>
          <w:szCs w:val="28"/>
        </w:rPr>
        <w:t>件，审结</w:t>
      </w:r>
      <w:r w:rsidR="001A3436" w:rsidRPr="00675F83">
        <w:rPr>
          <w:rFonts w:ascii="宋体" w:hAnsi="宋体" w:hint="eastAsia"/>
          <w:sz w:val="28"/>
          <w:szCs w:val="28"/>
        </w:rPr>
        <w:t>95</w:t>
      </w:r>
      <w:r w:rsidR="00BE0A13" w:rsidRPr="00675F83">
        <w:rPr>
          <w:rFonts w:ascii="宋体" w:hAnsi="宋体" w:hint="eastAsia"/>
          <w:sz w:val="28"/>
          <w:szCs w:val="28"/>
        </w:rPr>
        <w:t>4</w:t>
      </w:r>
      <w:r w:rsidR="00A93FF2" w:rsidRPr="00675F83">
        <w:rPr>
          <w:rFonts w:ascii="宋体" w:hAnsi="宋体" w:hint="eastAsia"/>
          <w:sz w:val="28"/>
          <w:szCs w:val="28"/>
        </w:rPr>
        <w:t>件。</w:t>
      </w:r>
      <w:r w:rsidR="00A60E67" w:rsidRPr="00675F83">
        <w:rPr>
          <w:rFonts w:ascii="宋体" w:hAnsi="宋体" w:hint="eastAsia"/>
          <w:sz w:val="28"/>
          <w:szCs w:val="28"/>
        </w:rPr>
        <w:t>总体上，</w:t>
      </w:r>
      <w:r w:rsidRPr="00675F83">
        <w:rPr>
          <w:rFonts w:ascii="宋体" w:hAnsi="宋体" w:hint="eastAsia"/>
          <w:sz w:val="28"/>
          <w:szCs w:val="28"/>
        </w:rPr>
        <w:t>受理案件数量和审结案件数量</w:t>
      </w:r>
      <w:r w:rsidR="00EA1B85" w:rsidRPr="00675F83">
        <w:rPr>
          <w:rFonts w:ascii="宋体" w:hAnsi="宋体" w:hint="eastAsia"/>
          <w:sz w:val="28"/>
          <w:szCs w:val="28"/>
        </w:rPr>
        <w:t>基本</w:t>
      </w:r>
      <w:r w:rsidRPr="00675F83">
        <w:rPr>
          <w:rFonts w:ascii="宋体" w:hAnsi="宋体" w:hint="eastAsia"/>
          <w:sz w:val="28"/>
          <w:szCs w:val="28"/>
        </w:rPr>
        <w:t>呈逐年攀升态势。</w:t>
      </w:r>
      <w:r w:rsidR="00C36A55" w:rsidRPr="00675F83">
        <w:rPr>
          <w:rFonts w:ascii="宋体" w:hAnsi="宋体" w:hint="eastAsia"/>
          <w:sz w:val="28"/>
          <w:szCs w:val="28"/>
        </w:rPr>
        <w:t>（见图一）</w:t>
      </w:r>
    </w:p>
    <w:p w:rsidR="00EA1B85" w:rsidRPr="00675F83" w:rsidRDefault="00EA1B85" w:rsidP="00C066CE">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在审判效率方面，2011年至2020年，静安法院涉老民事案件同期结案率均维持在较高水平，尤其是近四年来，结收比均达到100%，甚至超过105%。2020年，受新冠肺炎疫情的影响，静安法院涉老民事案件的受理数量和审结数量均有所回落，但结收比亦逾100%。2021年1月至9月，涉老民事案件的结收比已达100%。整体而言，近十年来涉老民事审判工作稳步有序推进，运行态势良好。</w:t>
      </w:r>
    </w:p>
    <w:p w:rsidR="00D2782C" w:rsidRPr="00675F83" w:rsidRDefault="009F5ECC" w:rsidP="009F5ECC">
      <w:pPr>
        <w:spacing w:line="360" w:lineRule="auto"/>
        <w:ind w:firstLineChars="200" w:firstLine="600"/>
        <w:jc w:val="center"/>
        <w:rPr>
          <w:rFonts w:ascii="宋体" w:hAnsi="宋体"/>
          <w:sz w:val="30"/>
          <w:szCs w:val="30"/>
        </w:rPr>
      </w:pPr>
      <w:r w:rsidRPr="00675F83">
        <w:rPr>
          <w:rFonts w:ascii="宋体" w:hAnsi="宋体"/>
          <w:noProof/>
          <w:sz w:val="30"/>
          <w:szCs w:val="30"/>
        </w:rPr>
        <w:drawing>
          <wp:inline distT="0" distB="0" distL="0" distR="0">
            <wp:extent cx="5274310" cy="3000985"/>
            <wp:effectExtent l="0" t="0" r="0" b="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782C" w:rsidRPr="00675F83" w:rsidRDefault="00D2782C" w:rsidP="00C066CE">
      <w:pPr>
        <w:adjustRightInd w:val="0"/>
        <w:snapToGrid w:val="0"/>
        <w:spacing w:line="520" w:lineRule="exact"/>
        <w:ind w:firstLineChars="200" w:firstLine="602"/>
        <w:jc w:val="left"/>
        <w:rPr>
          <w:rFonts w:ascii="宋体" w:hAnsi="宋体"/>
          <w:sz w:val="30"/>
          <w:szCs w:val="30"/>
        </w:rPr>
      </w:pPr>
      <w:r w:rsidRPr="00675F83">
        <w:rPr>
          <w:rFonts w:ascii="宋体" w:hAnsi="宋体" w:hint="eastAsia"/>
          <w:b/>
          <w:sz w:val="30"/>
          <w:szCs w:val="30"/>
        </w:rPr>
        <w:t>1. 案件类型分析</w:t>
      </w:r>
    </w:p>
    <w:p w:rsidR="00D2782C" w:rsidRPr="00675F83" w:rsidRDefault="00D2782C" w:rsidP="00C066CE">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涉老民事案件类型体现了老年人涉诉的纠纷类型，也从侧面反映了老年人所关心或涉足的矛盾类型。近十年来，涉老民事案件的主要类型发生了一定的变化，也体现出老年人对社会生活不同方面的参与</w:t>
      </w:r>
      <w:r w:rsidRPr="00675F83">
        <w:rPr>
          <w:rFonts w:ascii="宋体" w:hAnsi="宋体" w:hint="eastAsia"/>
          <w:sz w:val="28"/>
          <w:szCs w:val="28"/>
        </w:rPr>
        <w:lastRenderedPageBreak/>
        <w:t>度发生了变化。2011年至2020年，静安法院受理的涉老民事案件中，合同类纠纷为4</w:t>
      </w:r>
      <w:r w:rsidR="00EA7D50" w:rsidRPr="00675F83">
        <w:rPr>
          <w:rFonts w:ascii="宋体" w:hAnsi="宋体" w:hint="eastAsia"/>
          <w:sz w:val="28"/>
          <w:szCs w:val="28"/>
        </w:rPr>
        <w:t>,</w:t>
      </w:r>
      <w:r w:rsidRPr="00675F83">
        <w:rPr>
          <w:rFonts w:ascii="宋体" w:hAnsi="宋体" w:hint="eastAsia"/>
          <w:sz w:val="28"/>
          <w:szCs w:val="28"/>
        </w:rPr>
        <w:t>790件，权属、侵权类纠纷为2</w:t>
      </w:r>
      <w:r w:rsidR="00EA7D50" w:rsidRPr="00675F83">
        <w:rPr>
          <w:rFonts w:ascii="宋体" w:hAnsi="宋体" w:hint="eastAsia"/>
          <w:sz w:val="28"/>
          <w:szCs w:val="28"/>
        </w:rPr>
        <w:t>,</w:t>
      </w:r>
      <w:r w:rsidRPr="00675F83">
        <w:rPr>
          <w:rFonts w:ascii="宋体" w:hAnsi="宋体" w:hint="eastAsia"/>
          <w:sz w:val="28"/>
          <w:szCs w:val="28"/>
        </w:rPr>
        <w:t>686件，婚姻家庭类纠纷为1</w:t>
      </w:r>
      <w:r w:rsidR="00EA7D50" w:rsidRPr="00675F83">
        <w:rPr>
          <w:rFonts w:ascii="宋体" w:hAnsi="宋体" w:hint="eastAsia"/>
          <w:sz w:val="28"/>
          <w:szCs w:val="28"/>
        </w:rPr>
        <w:t>,</w:t>
      </w:r>
      <w:r w:rsidRPr="00675F83">
        <w:rPr>
          <w:rFonts w:ascii="宋体" w:hAnsi="宋体" w:hint="eastAsia"/>
          <w:sz w:val="28"/>
          <w:szCs w:val="28"/>
        </w:rPr>
        <w:t>461件，特别程序类案件为444件。</w:t>
      </w:r>
      <w:r w:rsidR="004B337D" w:rsidRPr="00675F83">
        <w:rPr>
          <w:rFonts w:ascii="宋体" w:hAnsi="宋体" w:hint="eastAsia"/>
          <w:sz w:val="28"/>
          <w:szCs w:val="28"/>
        </w:rPr>
        <w:t>（见图二）</w:t>
      </w:r>
    </w:p>
    <w:p w:rsidR="00D2782C" w:rsidRPr="00675F83" w:rsidRDefault="00FF642F" w:rsidP="00FF642F">
      <w:pPr>
        <w:spacing w:line="360" w:lineRule="auto"/>
        <w:ind w:firstLineChars="200" w:firstLine="602"/>
        <w:rPr>
          <w:rFonts w:ascii="宋体" w:hAnsi="宋体"/>
          <w:b/>
          <w:sz w:val="30"/>
          <w:szCs w:val="30"/>
        </w:rPr>
      </w:pPr>
      <w:r w:rsidRPr="00675F83">
        <w:rPr>
          <w:rFonts w:ascii="宋体" w:hAnsi="宋体"/>
          <w:b/>
          <w:noProof/>
          <w:sz w:val="30"/>
          <w:szCs w:val="30"/>
        </w:rPr>
        <w:drawing>
          <wp:inline distT="0" distB="0" distL="0" distR="0">
            <wp:extent cx="4305300" cy="256222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F642F" w:rsidRPr="00675F83" w:rsidRDefault="00D2782C" w:rsidP="00C066CE">
      <w:pPr>
        <w:adjustRightInd w:val="0"/>
        <w:snapToGrid w:val="0"/>
        <w:spacing w:line="520" w:lineRule="exact"/>
        <w:ind w:firstLineChars="200" w:firstLine="560"/>
        <w:rPr>
          <w:rFonts w:ascii="宋体" w:hAnsi="宋体"/>
          <w:kern w:val="0"/>
          <w:sz w:val="28"/>
          <w:szCs w:val="28"/>
        </w:rPr>
      </w:pPr>
      <w:r w:rsidRPr="00675F83">
        <w:rPr>
          <w:rFonts w:ascii="宋体" w:hAnsi="宋体" w:hint="eastAsia"/>
          <w:sz w:val="28"/>
          <w:szCs w:val="28"/>
        </w:rPr>
        <w:t>值得注意的是，近十年来</w:t>
      </w:r>
      <w:r w:rsidR="007B26C3" w:rsidRPr="00675F83">
        <w:rPr>
          <w:rFonts w:ascii="宋体" w:hAnsi="宋体" w:hint="eastAsia"/>
          <w:sz w:val="28"/>
          <w:szCs w:val="28"/>
        </w:rPr>
        <w:t>，</w:t>
      </w:r>
      <w:r w:rsidR="0010679F" w:rsidRPr="00675F83">
        <w:rPr>
          <w:rFonts w:ascii="宋体" w:hAnsi="宋体" w:hint="eastAsia"/>
          <w:sz w:val="28"/>
          <w:szCs w:val="28"/>
        </w:rPr>
        <w:t>权属、侵权类纠纷的数量变化相对平稳，而合同类纠纷的数量逐年攀升。</w:t>
      </w:r>
      <w:r w:rsidRPr="00675F83">
        <w:rPr>
          <w:rFonts w:ascii="宋体" w:hAnsi="宋体" w:hint="eastAsia"/>
          <w:sz w:val="28"/>
          <w:szCs w:val="28"/>
        </w:rPr>
        <w:t>2013年以前，权属、侵权类纠纷的数量在上述四大类案件类型中占比最高，而自2014年开始，合同类纠纷的数量一跃成为四大类案件之首，随后几年更是逐年攀升，在所有的纠纷类型中占绝对性的主</w:t>
      </w:r>
      <w:r w:rsidR="007B26C3" w:rsidRPr="00675F83">
        <w:rPr>
          <w:rFonts w:ascii="宋体" w:hAnsi="宋体" w:hint="eastAsia"/>
          <w:sz w:val="28"/>
          <w:szCs w:val="28"/>
        </w:rPr>
        <w:t>要</w:t>
      </w:r>
      <w:r w:rsidRPr="00675F83">
        <w:rPr>
          <w:rFonts w:ascii="宋体" w:hAnsi="宋体" w:hint="eastAsia"/>
          <w:sz w:val="28"/>
          <w:szCs w:val="28"/>
        </w:rPr>
        <w:t>地</w:t>
      </w:r>
      <w:r w:rsidR="007B26C3" w:rsidRPr="00675F83">
        <w:rPr>
          <w:rFonts w:ascii="宋体" w:hAnsi="宋体" w:hint="eastAsia"/>
          <w:sz w:val="28"/>
          <w:szCs w:val="28"/>
        </w:rPr>
        <w:t>位。</w:t>
      </w:r>
      <w:r w:rsidR="00A60E67" w:rsidRPr="00675F83">
        <w:rPr>
          <w:rFonts w:ascii="宋体" w:hAnsi="宋体" w:hint="eastAsia"/>
          <w:sz w:val="28"/>
          <w:szCs w:val="28"/>
        </w:rPr>
        <w:t>（见</w:t>
      </w:r>
      <w:r w:rsidR="00CF43C8" w:rsidRPr="00675F83">
        <w:rPr>
          <w:rFonts w:ascii="宋体" w:hAnsi="宋体" w:hint="eastAsia"/>
          <w:sz w:val="28"/>
          <w:szCs w:val="28"/>
        </w:rPr>
        <w:t>图三</w:t>
      </w:r>
      <w:r w:rsidR="00A60E67" w:rsidRPr="00675F83">
        <w:rPr>
          <w:rFonts w:ascii="宋体" w:hAnsi="宋体" w:hint="eastAsia"/>
          <w:sz w:val="28"/>
          <w:szCs w:val="28"/>
        </w:rPr>
        <w:t>、</w:t>
      </w:r>
      <w:r w:rsidR="00CF43C8" w:rsidRPr="00675F83">
        <w:rPr>
          <w:rFonts w:ascii="宋体" w:hAnsi="宋体" w:hint="eastAsia"/>
          <w:sz w:val="28"/>
          <w:szCs w:val="28"/>
        </w:rPr>
        <w:t>图四）</w:t>
      </w:r>
      <w:r w:rsidR="007B26C3" w:rsidRPr="00675F83">
        <w:rPr>
          <w:rFonts w:ascii="宋体" w:hAnsi="宋体" w:hint="eastAsia"/>
          <w:sz w:val="28"/>
          <w:szCs w:val="28"/>
        </w:rPr>
        <w:t>以上变化，表明老年人对社会生活的参与情况从被动接受既定权利到主动签订合同</w:t>
      </w:r>
      <w:r w:rsidRPr="00675F83">
        <w:rPr>
          <w:rFonts w:ascii="宋体" w:hAnsi="宋体" w:hint="eastAsia"/>
          <w:sz w:val="28"/>
          <w:szCs w:val="28"/>
        </w:rPr>
        <w:t>设立民事权利义务</w:t>
      </w:r>
      <w:r w:rsidR="007B26C3" w:rsidRPr="00675F83">
        <w:rPr>
          <w:rFonts w:ascii="宋体" w:hAnsi="宋体" w:hint="eastAsia"/>
          <w:sz w:val="28"/>
          <w:szCs w:val="28"/>
        </w:rPr>
        <w:t>，这种化被动</w:t>
      </w:r>
      <w:r w:rsidR="00867B00" w:rsidRPr="00117446">
        <w:rPr>
          <w:rFonts w:ascii="宋体" w:hAnsi="宋体" w:hint="eastAsia"/>
          <w:sz w:val="28"/>
          <w:szCs w:val="28"/>
        </w:rPr>
        <w:t>维权</w:t>
      </w:r>
      <w:r w:rsidR="007B26C3" w:rsidRPr="00675F83">
        <w:rPr>
          <w:rFonts w:ascii="宋体" w:hAnsi="宋体" w:hint="eastAsia"/>
          <w:kern w:val="0"/>
          <w:sz w:val="28"/>
          <w:szCs w:val="28"/>
        </w:rPr>
        <w:t>为主动设权的改变，</w:t>
      </w:r>
      <w:r w:rsidRPr="00675F83">
        <w:rPr>
          <w:rFonts w:ascii="宋体" w:hAnsi="宋体" w:hint="eastAsia"/>
          <w:kern w:val="0"/>
          <w:sz w:val="28"/>
          <w:szCs w:val="28"/>
        </w:rPr>
        <w:t>侧面反映出老年人近年来参与社会经济生活的积极性和主动性有大幅提高。</w:t>
      </w:r>
    </w:p>
    <w:p w:rsidR="00D2782C" w:rsidRPr="00675F83" w:rsidRDefault="00FF642F" w:rsidP="00FF642F">
      <w:pPr>
        <w:adjustRightInd w:val="0"/>
        <w:snapToGrid w:val="0"/>
        <w:spacing w:line="360" w:lineRule="auto"/>
        <w:ind w:firstLineChars="200" w:firstLine="560"/>
        <w:jc w:val="center"/>
        <w:rPr>
          <w:rFonts w:ascii="宋体" w:hAnsi="宋体"/>
          <w:sz w:val="30"/>
          <w:szCs w:val="30"/>
        </w:rPr>
      </w:pPr>
      <w:r w:rsidRPr="00675F83">
        <w:rPr>
          <w:rFonts w:ascii="宋体" w:hAnsi="宋体"/>
          <w:noProof/>
          <w:kern w:val="0"/>
          <w:sz w:val="28"/>
          <w:szCs w:val="28"/>
        </w:rPr>
        <w:drawing>
          <wp:inline distT="0" distB="0" distL="0" distR="0">
            <wp:extent cx="4086225" cy="22383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2782C" w:rsidRPr="00675F83" w:rsidRDefault="00774CB5" w:rsidP="00BC4210">
      <w:pPr>
        <w:spacing w:line="360" w:lineRule="auto"/>
        <w:ind w:firstLineChars="200" w:firstLine="602"/>
        <w:jc w:val="center"/>
        <w:rPr>
          <w:rFonts w:ascii="宋体" w:hAnsi="宋体"/>
          <w:b/>
          <w:sz w:val="30"/>
          <w:szCs w:val="30"/>
        </w:rPr>
      </w:pPr>
      <w:r>
        <w:rPr>
          <w:rFonts w:ascii="宋体" w:hAnsi="宋体"/>
          <w:b/>
          <w:noProof/>
          <w:sz w:val="30"/>
          <w:szCs w:val="30"/>
        </w:rPr>
        <w:lastRenderedPageBreak/>
        <w:pict>
          <v:shapetype id="_x0000_t202" coordsize="21600,21600" o:spt="202" path="m,l,21600r21600,l21600,xe">
            <v:stroke joinstyle="miter"/>
            <v:path gradientshapeok="t" o:connecttype="rect"/>
          </v:shapetype>
          <v:shape id="_x0000_s2050" type="#_x0000_t202" style="position:absolute;left:0;text-align:left;margin-left:300pt;margin-top:60.15pt;width:82.5pt;height:189pt;z-index:251658240" stroked="f">
            <v:textbox>
              <w:txbxContent>
                <w:p w:rsidR="00E84156" w:rsidRDefault="00E84156">
                  <w:r>
                    <w:rPr>
                      <w:rFonts w:hint="eastAsia"/>
                    </w:rPr>
                    <w:t>2011</w:t>
                  </w:r>
                  <w:r>
                    <w:rPr>
                      <w:rFonts w:hint="eastAsia"/>
                    </w:rPr>
                    <w:t>年：</w:t>
                  </w:r>
                  <w:r>
                    <w:rPr>
                      <w:rFonts w:hint="eastAsia"/>
                    </w:rPr>
                    <w:t>25.7%</w:t>
                  </w:r>
                </w:p>
                <w:p w:rsidR="00E84156" w:rsidRDefault="00E84156">
                  <w:r>
                    <w:rPr>
                      <w:rFonts w:hint="eastAsia"/>
                    </w:rPr>
                    <w:t>2012</w:t>
                  </w:r>
                  <w:r>
                    <w:rPr>
                      <w:rFonts w:hint="eastAsia"/>
                    </w:rPr>
                    <w:t>年：</w:t>
                  </w:r>
                  <w:r>
                    <w:rPr>
                      <w:rFonts w:hint="eastAsia"/>
                    </w:rPr>
                    <w:t>32.6%</w:t>
                  </w:r>
                </w:p>
                <w:p w:rsidR="00E84156" w:rsidRDefault="00E84156">
                  <w:r>
                    <w:rPr>
                      <w:rFonts w:hint="eastAsia"/>
                    </w:rPr>
                    <w:t>2013</w:t>
                  </w:r>
                  <w:r>
                    <w:rPr>
                      <w:rFonts w:hint="eastAsia"/>
                    </w:rPr>
                    <w:t>年：</w:t>
                  </w:r>
                  <w:r>
                    <w:rPr>
                      <w:rFonts w:hint="eastAsia"/>
                    </w:rPr>
                    <w:t>34.7%</w:t>
                  </w:r>
                </w:p>
                <w:p w:rsidR="00E84156" w:rsidRDefault="00E84156">
                  <w:r>
                    <w:rPr>
                      <w:rFonts w:hint="eastAsia"/>
                    </w:rPr>
                    <w:t>2014</w:t>
                  </w:r>
                  <w:r>
                    <w:rPr>
                      <w:rFonts w:hint="eastAsia"/>
                    </w:rPr>
                    <w:t>年：</w:t>
                  </w:r>
                  <w:r>
                    <w:rPr>
                      <w:rFonts w:hint="eastAsia"/>
                    </w:rPr>
                    <w:t>43.4%</w:t>
                  </w:r>
                </w:p>
                <w:p w:rsidR="00E84156" w:rsidRDefault="00E84156">
                  <w:r>
                    <w:rPr>
                      <w:rFonts w:hint="eastAsia"/>
                    </w:rPr>
                    <w:t>2015</w:t>
                  </w:r>
                  <w:r>
                    <w:rPr>
                      <w:rFonts w:hint="eastAsia"/>
                    </w:rPr>
                    <w:t>年：</w:t>
                  </w:r>
                  <w:r>
                    <w:rPr>
                      <w:rFonts w:hint="eastAsia"/>
                    </w:rPr>
                    <w:t>42.3%</w:t>
                  </w:r>
                </w:p>
                <w:p w:rsidR="00E84156" w:rsidRDefault="00E84156">
                  <w:r>
                    <w:rPr>
                      <w:rFonts w:hint="eastAsia"/>
                    </w:rPr>
                    <w:t>2016</w:t>
                  </w:r>
                  <w:r>
                    <w:rPr>
                      <w:rFonts w:hint="eastAsia"/>
                    </w:rPr>
                    <w:t>年：</w:t>
                  </w:r>
                  <w:r>
                    <w:rPr>
                      <w:rFonts w:hint="eastAsia"/>
                    </w:rPr>
                    <w:t>39.5%</w:t>
                  </w:r>
                </w:p>
                <w:p w:rsidR="00E84156" w:rsidRDefault="00E84156">
                  <w:r>
                    <w:rPr>
                      <w:rFonts w:hint="eastAsia"/>
                    </w:rPr>
                    <w:t>2017</w:t>
                  </w:r>
                  <w:r>
                    <w:rPr>
                      <w:rFonts w:hint="eastAsia"/>
                    </w:rPr>
                    <w:t>年：</w:t>
                  </w:r>
                  <w:r>
                    <w:rPr>
                      <w:rFonts w:hint="eastAsia"/>
                    </w:rPr>
                    <w:t>56.1%</w:t>
                  </w:r>
                </w:p>
                <w:p w:rsidR="00E84156" w:rsidRDefault="00E84156">
                  <w:r>
                    <w:rPr>
                      <w:rFonts w:hint="eastAsia"/>
                    </w:rPr>
                    <w:t>2018</w:t>
                  </w:r>
                  <w:r>
                    <w:rPr>
                      <w:rFonts w:hint="eastAsia"/>
                    </w:rPr>
                    <w:t>年：</w:t>
                  </w:r>
                  <w:r>
                    <w:rPr>
                      <w:rFonts w:hint="eastAsia"/>
                    </w:rPr>
                    <w:t>61.3%</w:t>
                  </w:r>
                </w:p>
                <w:p w:rsidR="00E84156" w:rsidRDefault="00E84156">
                  <w:r>
                    <w:rPr>
                      <w:rFonts w:hint="eastAsia"/>
                    </w:rPr>
                    <w:t>2019</w:t>
                  </w:r>
                  <w:r>
                    <w:rPr>
                      <w:rFonts w:hint="eastAsia"/>
                    </w:rPr>
                    <w:t>年：</w:t>
                  </w:r>
                  <w:r>
                    <w:rPr>
                      <w:rFonts w:hint="eastAsia"/>
                    </w:rPr>
                    <w:t>65.4%</w:t>
                  </w:r>
                </w:p>
                <w:p w:rsidR="00E84156" w:rsidRDefault="00E84156">
                  <w:r>
                    <w:rPr>
                      <w:rFonts w:hint="eastAsia"/>
                    </w:rPr>
                    <w:t>2020</w:t>
                  </w:r>
                  <w:r>
                    <w:rPr>
                      <w:rFonts w:hint="eastAsia"/>
                    </w:rPr>
                    <w:t>年：</w:t>
                  </w:r>
                  <w:r>
                    <w:rPr>
                      <w:rFonts w:hint="eastAsia"/>
                    </w:rPr>
                    <w:t>61.3%</w:t>
                  </w:r>
                </w:p>
              </w:txbxContent>
            </v:textbox>
          </v:shape>
        </w:pict>
      </w:r>
      <w:r w:rsidR="00092FC4" w:rsidRPr="00675F83">
        <w:rPr>
          <w:rFonts w:ascii="宋体" w:hAnsi="宋体"/>
          <w:b/>
          <w:noProof/>
          <w:sz w:val="30"/>
          <w:szCs w:val="30"/>
        </w:rPr>
        <w:drawing>
          <wp:inline distT="0" distB="0" distL="0" distR="0">
            <wp:extent cx="4305300" cy="3219450"/>
            <wp:effectExtent l="0" t="0" r="0" b="0"/>
            <wp:docPr id="12"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13F6B" w:rsidRPr="00675F83" w:rsidRDefault="00D2782C" w:rsidP="00C45223">
      <w:pPr>
        <w:adjustRightInd w:val="0"/>
        <w:snapToGrid w:val="0"/>
        <w:spacing w:line="520" w:lineRule="exact"/>
        <w:ind w:firstLineChars="200" w:firstLine="602"/>
        <w:jc w:val="left"/>
        <w:rPr>
          <w:rFonts w:ascii="宋体" w:hAnsi="宋体"/>
          <w:b/>
          <w:sz w:val="30"/>
          <w:szCs w:val="30"/>
        </w:rPr>
      </w:pPr>
      <w:r w:rsidRPr="00675F83">
        <w:rPr>
          <w:rFonts w:ascii="宋体" w:hAnsi="宋体" w:hint="eastAsia"/>
          <w:b/>
          <w:sz w:val="30"/>
          <w:szCs w:val="30"/>
        </w:rPr>
        <w:t xml:space="preserve">2. </w:t>
      </w:r>
      <w:r w:rsidR="00223072" w:rsidRPr="00675F83">
        <w:rPr>
          <w:rFonts w:ascii="宋体" w:hAnsi="宋体" w:hint="eastAsia"/>
          <w:b/>
          <w:sz w:val="30"/>
          <w:szCs w:val="30"/>
        </w:rPr>
        <w:t>案件案由分析</w:t>
      </w:r>
    </w:p>
    <w:p w:rsidR="00D2782C" w:rsidRPr="00675F83" w:rsidRDefault="00D2782C"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案由反映当事人主张的民事法律关系的性质。2011年至2020年，静安法院受理的涉老民事案件中，数量排名前三位的案由分别是民间借贷纠纷、相邻关系纠纷、离婚纠纷，其中民间借贷纠纷3</w:t>
      </w:r>
      <w:r w:rsidR="00EA7D50" w:rsidRPr="00675F83">
        <w:rPr>
          <w:rFonts w:ascii="宋体" w:hAnsi="宋体" w:hint="eastAsia"/>
          <w:sz w:val="28"/>
          <w:szCs w:val="28"/>
        </w:rPr>
        <w:t>,</w:t>
      </w:r>
      <w:r w:rsidRPr="00675F83">
        <w:rPr>
          <w:rFonts w:ascii="宋体" w:hAnsi="宋体" w:hint="eastAsia"/>
          <w:sz w:val="28"/>
          <w:szCs w:val="28"/>
        </w:rPr>
        <w:t>386件、相邻关系纠纷760件、离婚纠纷759件。</w:t>
      </w:r>
    </w:p>
    <w:p w:rsidR="00BC4210" w:rsidRPr="00675F83" w:rsidRDefault="007B26C3" w:rsidP="00C45223">
      <w:pPr>
        <w:adjustRightInd w:val="0"/>
        <w:snapToGrid w:val="0"/>
        <w:spacing w:line="520" w:lineRule="exact"/>
        <w:ind w:firstLineChars="200" w:firstLine="560"/>
        <w:jc w:val="left"/>
        <w:rPr>
          <w:rFonts w:ascii="宋体" w:hAnsi="宋体"/>
          <w:sz w:val="28"/>
          <w:szCs w:val="28"/>
        </w:rPr>
      </w:pPr>
      <w:r w:rsidRPr="00675F83">
        <w:rPr>
          <w:rFonts w:ascii="宋体" w:hAnsi="宋体" w:hint="eastAsia"/>
          <w:sz w:val="28"/>
          <w:szCs w:val="28"/>
        </w:rPr>
        <w:t>从数量变化趋势来看，</w:t>
      </w:r>
      <w:r w:rsidR="00D2782C" w:rsidRPr="00675F83">
        <w:rPr>
          <w:rFonts w:ascii="宋体" w:hAnsi="宋体" w:hint="eastAsia"/>
          <w:sz w:val="28"/>
          <w:szCs w:val="28"/>
        </w:rPr>
        <w:t>民间借贷纠纷在短短十年期间经历了爆发式增长，</w:t>
      </w:r>
      <w:r w:rsidR="00BC4210" w:rsidRPr="00675F83">
        <w:rPr>
          <w:rFonts w:ascii="宋体" w:hAnsi="宋体" w:hint="eastAsia"/>
          <w:sz w:val="28"/>
          <w:szCs w:val="28"/>
        </w:rPr>
        <w:t>老年人参与经济生活积极性、主动性增强</w:t>
      </w:r>
      <w:r w:rsidRPr="00675F83">
        <w:rPr>
          <w:rFonts w:ascii="宋体" w:hAnsi="宋体" w:hint="eastAsia"/>
          <w:sz w:val="28"/>
          <w:szCs w:val="28"/>
        </w:rPr>
        <w:t>，资金融通需求旺盛；相邻关系纠纷的数量变化相对比较平稳，</w:t>
      </w:r>
      <w:r w:rsidR="00BC4210" w:rsidRPr="00675F83">
        <w:rPr>
          <w:rFonts w:ascii="宋体" w:hAnsi="宋体" w:hint="eastAsia"/>
          <w:sz w:val="28"/>
          <w:szCs w:val="28"/>
        </w:rPr>
        <w:t>受囿于静安老城厢相对较紧张的居住条件，邻里之间难免磕磕碰碰，公共区域堆物、占道、搭建、破坏墙体、漏水等问题依然比较突出</w:t>
      </w:r>
      <w:r w:rsidR="00B92E58" w:rsidRPr="00675F83">
        <w:rPr>
          <w:rFonts w:ascii="宋体" w:hAnsi="宋体" w:hint="eastAsia"/>
          <w:sz w:val="28"/>
          <w:szCs w:val="28"/>
        </w:rPr>
        <w:t>。</w:t>
      </w:r>
      <w:r w:rsidR="00BC4210" w:rsidRPr="00675F83">
        <w:rPr>
          <w:rFonts w:ascii="宋体" w:hAnsi="宋体" w:hint="eastAsia"/>
          <w:sz w:val="28"/>
          <w:szCs w:val="28"/>
        </w:rPr>
        <w:t>离婚纠纷的数量稳中有</w:t>
      </w:r>
      <w:r w:rsidRPr="00675F83">
        <w:rPr>
          <w:rFonts w:ascii="宋体" w:hAnsi="宋体" w:hint="eastAsia"/>
          <w:sz w:val="28"/>
          <w:szCs w:val="28"/>
        </w:rPr>
        <w:t>升</w:t>
      </w:r>
      <w:r w:rsidR="00BC4210" w:rsidRPr="00675F83">
        <w:rPr>
          <w:rFonts w:ascii="宋体" w:hAnsi="宋体" w:hint="eastAsia"/>
          <w:sz w:val="28"/>
          <w:szCs w:val="28"/>
        </w:rPr>
        <w:t>，</w:t>
      </w:r>
      <w:r w:rsidRPr="00675F83">
        <w:rPr>
          <w:rFonts w:ascii="宋体" w:hAnsi="宋体" w:hint="eastAsia"/>
          <w:sz w:val="28"/>
          <w:szCs w:val="28"/>
        </w:rPr>
        <w:t>一定程度反映出</w:t>
      </w:r>
      <w:r w:rsidR="00BC4210" w:rsidRPr="00675F83">
        <w:rPr>
          <w:rFonts w:ascii="宋体" w:hAnsi="宋体" w:hint="eastAsia"/>
          <w:sz w:val="28"/>
          <w:szCs w:val="28"/>
        </w:rPr>
        <w:t>老年人对婚姻理解</w:t>
      </w:r>
      <w:r w:rsidRPr="00675F83">
        <w:rPr>
          <w:rFonts w:ascii="宋体" w:hAnsi="宋体" w:hint="eastAsia"/>
          <w:sz w:val="28"/>
          <w:szCs w:val="28"/>
        </w:rPr>
        <w:t>发生变化</w:t>
      </w:r>
      <w:r w:rsidR="00BC4210" w:rsidRPr="00675F83">
        <w:rPr>
          <w:rFonts w:ascii="宋体" w:hAnsi="宋体" w:hint="eastAsia"/>
          <w:sz w:val="28"/>
          <w:szCs w:val="28"/>
        </w:rPr>
        <w:t>，对“老来伴”的期待不仅限于凑合过日子，而是更多地开始意识到真正</w:t>
      </w:r>
      <w:r w:rsidR="00B92E58" w:rsidRPr="00675F83">
        <w:rPr>
          <w:rFonts w:ascii="宋体" w:hAnsi="宋体" w:hint="eastAsia"/>
          <w:sz w:val="28"/>
          <w:szCs w:val="28"/>
        </w:rPr>
        <w:t>遵</w:t>
      </w:r>
      <w:r w:rsidR="00BC4210" w:rsidRPr="00675F83">
        <w:rPr>
          <w:rFonts w:ascii="宋体" w:hAnsi="宋体" w:hint="eastAsia"/>
          <w:sz w:val="28"/>
          <w:szCs w:val="28"/>
        </w:rPr>
        <w:t>从内心真实想法，积极争取在接下来的晚年生活中</w:t>
      </w:r>
      <w:r w:rsidRPr="00675F83">
        <w:rPr>
          <w:rFonts w:ascii="宋体" w:hAnsi="宋体" w:hint="eastAsia"/>
          <w:sz w:val="28"/>
          <w:szCs w:val="28"/>
        </w:rPr>
        <w:t>获得</w:t>
      </w:r>
      <w:r w:rsidR="00BC4210" w:rsidRPr="00675F83">
        <w:rPr>
          <w:rFonts w:ascii="宋体" w:hAnsi="宋体" w:hint="eastAsia"/>
          <w:sz w:val="28"/>
          <w:szCs w:val="28"/>
        </w:rPr>
        <w:t>属于自己的幸福。</w:t>
      </w:r>
      <w:r w:rsidR="0045188A" w:rsidRPr="00675F83">
        <w:rPr>
          <w:rFonts w:ascii="宋体" w:hAnsi="宋体" w:hint="eastAsia"/>
          <w:sz w:val="28"/>
          <w:szCs w:val="28"/>
        </w:rPr>
        <w:t>（见图五）</w:t>
      </w:r>
    </w:p>
    <w:p w:rsidR="00D2782C" w:rsidRPr="00675F83" w:rsidRDefault="00CB0F0F" w:rsidP="00CB0F0F">
      <w:pPr>
        <w:ind w:firstLineChars="200" w:firstLine="602"/>
        <w:jc w:val="center"/>
        <w:rPr>
          <w:rFonts w:ascii="宋体" w:hAnsi="宋体"/>
          <w:b/>
          <w:sz w:val="30"/>
          <w:szCs w:val="30"/>
        </w:rPr>
      </w:pPr>
      <w:r w:rsidRPr="00675F83">
        <w:rPr>
          <w:rFonts w:ascii="宋体" w:hAnsi="宋体"/>
          <w:b/>
          <w:noProof/>
          <w:sz w:val="30"/>
          <w:szCs w:val="30"/>
        </w:rPr>
        <w:lastRenderedPageBreak/>
        <w:drawing>
          <wp:inline distT="0" distB="0" distL="0" distR="0">
            <wp:extent cx="5274310" cy="2861191"/>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782C" w:rsidRPr="00675F83" w:rsidRDefault="00D2782C" w:rsidP="00C45223">
      <w:pPr>
        <w:adjustRightInd w:val="0"/>
        <w:snapToGrid w:val="0"/>
        <w:spacing w:line="520" w:lineRule="exact"/>
        <w:ind w:firstLineChars="200" w:firstLine="560"/>
        <w:rPr>
          <w:rFonts w:ascii="宋体" w:hAnsi="宋体"/>
          <w:b/>
          <w:sz w:val="28"/>
          <w:szCs w:val="28"/>
        </w:rPr>
      </w:pPr>
      <w:r w:rsidRPr="00675F83">
        <w:rPr>
          <w:rFonts w:ascii="宋体" w:hAnsi="宋体" w:hint="eastAsia"/>
          <w:sz w:val="28"/>
          <w:szCs w:val="28"/>
        </w:rPr>
        <w:t>值得注意的是，上述统计期间内另有十起因当事人伪造证据、扰乱法庭秩序等原因产生的司法罚款类案件，累计罚款14人次，其中老年人为5人次。这也提示老年人在维护自身权益之时，应</w:t>
      </w:r>
      <w:r w:rsidR="007B26C3" w:rsidRPr="00675F83">
        <w:rPr>
          <w:rFonts w:ascii="宋体" w:hAnsi="宋体" w:hint="eastAsia"/>
          <w:sz w:val="28"/>
          <w:szCs w:val="28"/>
        </w:rPr>
        <w:t>依法</w:t>
      </w:r>
      <w:r w:rsidRPr="00675F83">
        <w:rPr>
          <w:rFonts w:ascii="宋体" w:hAnsi="宋体" w:hint="eastAsia"/>
          <w:sz w:val="28"/>
          <w:szCs w:val="28"/>
        </w:rPr>
        <w:t>理性维权，若干扰司法秩序，将承担相应法律后果。</w:t>
      </w:r>
    </w:p>
    <w:p w:rsidR="00C13F6B" w:rsidRPr="00675F83" w:rsidRDefault="00D2782C" w:rsidP="00C45223">
      <w:pPr>
        <w:adjustRightInd w:val="0"/>
        <w:snapToGrid w:val="0"/>
        <w:spacing w:line="520" w:lineRule="exact"/>
        <w:ind w:firstLineChars="200" w:firstLine="602"/>
        <w:jc w:val="left"/>
        <w:rPr>
          <w:rFonts w:ascii="宋体" w:hAnsi="宋体"/>
          <w:b/>
          <w:sz w:val="30"/>
          <w:szCs w:val="30"/>
        </w:rPr>
      </w:pPr>
      <w:r w:rsidRPr="00675F83">
        <w:rPr>
          <w:rFonts w:ascii="宋体" w:hAnsi="宋体" w:hint="eastAsia"/>
          <w:b/>
          <w:sz w:val="30"/>
          <w:szCs w:val="30"/>
        </w:rPr>
        <w:t xml:space="preserve">3. </w:t>
      </w:r>
      <w:r w:rsidR="00223072" w:rsidRPr="00675F83">
        <w:rPr>
          <w:rFonts w:ascii="宋体" w:hAnsi="宋体" w:hint="eastAsia"/>
          <w:b/>
          <w:sz w:val="30"/>
          <w:szCs w:val="30"/>
        </w:rPr>
        <w:t>结案方式分析</w:t>
      </w:r>
    </w:p>
    <w:p w:rsidR="00D2782C" w:rsidRPr="00675F83" w:rsidRDefault="00D2782C" w:rsidP="00C45223">
      <w:pPr>
        <w:adjustRightInd w:val="0"/>
        <w:snapToGrid w:val="0"/>
        <w:spacing w:line="520" w:lineRule="exact"/>
        <w:ind w:firstLineChars="200" w:firstLine="560"/>
        <w:jc w:val="left"/>
        <w:rPr>
          <w:rFonts w:ascii="宋体" w:hAnsi="宋体"/>
          <w:sz w:val="28"/>
          <w:szCs w:val="28"/>
        </w:rPr>
      </w:pPr>
      <w:r w:rsidRPr="00675F83">
        <w:rPr>
          <w:rFonts w:ascii="宋体" w:hAnsi="宋体" w:hint="eastAsia"/>
          <w:sz w:val="28"/>
          <w:szCs w:val="28"/>
        </w:rPr>
        <w:t>结案方式是当事人纠纷的解决方式，</w:t>
      </w:r>
      <w:r w:rsidR="007B26C3" w:rsidRPr="00675F83">
        <w:rPr>
          <w:rFonts w:ascii="宋体" w:hAnsi="宋体" w:hint="eastAsia"/>
          <w:sz w:val="28"/>
          <w:szCs w:val="28"/>
        </w:rPr>
        <w:t>也</w:t>
      </w:r>
      <w:r w:rsidRPr="00675F83">
        <w:rPr>
          <w:rFonts w:ascii="宋体" w:hAnsi="宋体" w:hint="eastAsia"/>
          <w:sz w:val="28"/>
          <w:szCs w:val="28"/>
        </w:rPr>
        <w:t>一定程度上体现了当事人的矛盾化解程度。2011年至2020年静安法院审结的涉老民事案件中，以判决结案的案件数量为3</w:t>
      </w:r>
      <w:r w:rsidR="00EA7D50" w:rsidRPr="00675F83">
        <w:rPr>
          <w:rFonts w:ascii="宋体" w:hAnsi="宋体" w:hint="eastAsia"/>
          <w:sz w:val="28"/>
          <w:szCs w:val="28"/>
        </w:rPr>
        <w:t>,</w:t>
      </w:r>
      <w:r w:rsidRPr="00675F83">
        <w:rPr>
          <w:rFonts w:ascii="宋体" w:hAnsi="宋体" w:hint="eastAsia"/>
          <w:sz w:val="28"/>
          <w:szCs w:val="28"/>
        </w:rPr>
        <w:t>191件，调解结案的案件数量为2</w:t>
      </w:r>
      <w:r w:rsidR="00EA7D50" w:rsidRPr="00675F83">
        <w:rPr>
          <w:rFonts w:ascii="宋体" w:hAnsi="宋体" w:hint="eastAsia"/>
          <w:sz w:val="28"/>
          <w:szCs w:val="28"/>
        </w:rPr>
        <w:t>,</w:t>
      </w:r>
      <w:r w:rsidRPr="00675F83">
        <w:rPr>
          <w:rFonts w:ascii="宋体" w:hAnsi="宋体" w:hint="eastAsia"/>
          <w:sz w:val="28"/>
          <w:szCs w:val="28"/>
        </w:rPr>
        <w:t>079件，撤诉（含特别程序撤回申请）结案的案件数量为3</w:t>
      </w:r>
      <w:r w:rsidR="00EA7D50" w:rsidRPr="00675F83">
        <w:rPr>
          <w:rFonts w:ascii="宋体" w:hAnsi="宋体" w:hint="eastAsia"/>
          <w:sz w:val="28"/>
          <w:szCs w:val="28"/>
        </w:rPr>
        <w:t>,</w:t>
      </w:r>
      <w:r w:rsidRPr="00675F83">
        <w:rPr>
          <w:rFonts w:ascii="宋体" w:hAnsi="宋体" w:hint="eastAsia"/>
          <w:sz w:val="28"/>
          <w:szCs w:val="28"/>
        </w:rPr>
        <w:t>104件，裁定移送有管辖权法院的案件数量为290件，裁定驳回起诉的案件数量为245件，其他方式结案253件（含裁定终结、裁定保全、做出罚款决定等）。从结案情况来看，年度调解、撤诉结案的案件总数量均多于当年判决结案的案件数量，且与年度结案情况发展趋势呈正相关。</w:t>
      </w:r>
      <w:r w:rsidR="006218B5" w:rsidRPr="00675F83">
        <w:rPr>
          <w:rFonts w:ascii="宋体" w:hAnsi="宋体" w:hint="eastAsia"/>
          <w:sz w:val="28"/>
          <w:szCs w:val="28"/>
        </w:rPr>
        <w:t>（见图六）</w:t>
      </w:r>
      <w:r w:rsidR="007B26C3" w:rsidRPr="00675F83">
        <w:rPr>
          <w:rFonts w:ascii="宋体" w:hAnsi="宋体" w:hint="eastAsia"/>
          <w:sz w:val="28"/>
          <w:szCs w:val="28"/>
        </w:rPr>
        <w:t>十年来，</w:t>
      </w:r>
      <w:r w:rsidRPr="00675F83">
        <w:rPr>
          <w:rFonts w:ascii="宋体" w:hAnsi="宋体" w:hint="eastAsia"/>
          <w:sz w:val="28"/>
          <w:szCs w:val="28"/>
        </w:rPr>
        <w:t>涉老民事案件</w:t>
      </w:r>
      <w:r w:rsidR="007B26C3" w:rsidRPr="00675F83">
        <w:rPr>
          <w:rFonts w:ascii="宋体" w:hAnsi="宋体" w:hint="eastAsia"/>
          <w:sz w:val="28"/>
          <w:szCs w:val="28"/>
        </w:rPr>
        <w:t>年度</w:t>
      </w:r>
      <w:r w:rsidRPr="00675F83">
        <w:rPr>
          <w:rFonts w:ascii="宋体" w:hAnsi="宋体" w:hint="eastAsia"/>
          <w:sz w:val="28"/>
          <w:szCs w:val="28"/>
        </w:rPr>
        <w:t>调撤率维持在50%左右，甚至</w:t>
      </w:r>
      <w:r w:rsidR="007B26C3" w:rsidRPr="00675F83">
        <w:rPr>
          <w:rFonts w:ascii="宋体" w:hAnsi="宋体" w:hint="eastAsia"/>
          <w:sz w:val="28"/>
          <w:szCs w:val="28"/>
        </w:rPr>
        <w:t>曾</w:t>
      </w:r>
      <w:r w:rsidRPr="00675F83">
        <w:rPr>
          <w:rFonts w:ascii="宋体" w:hAnsi="宋体" w:hint="eastAsia"/>
          <w:sz w:val="28"/>
          <w:szCs w:val="28"/>
        </w:rPr>
        <w:t>达61.5%，矛盾</w:t>
      </w:r>
      <w:r w:rsidR="004A7CD8" w:rsidRPr="00675F83">
        <w:rPr>
          <w:rFonts w:ascii="宋体" w:hAnsi="宋体" w:hint="eastAsia"/>
          <w:sz w:val="28"/>
          <w:szCs w:val="28"/>
        </w:rPr>
        <w:t>实质性</w:t>
      </w:r>
      <w:r w:rsidRPr="00675F83">
        <w:rPr>
          <w:rFonts w:ascii="宋体" w:hAnsi="宋体" w:hint="eastAsia"/>
          <w:sz w:val="28"/>
          <w:szCs w:val="28"/>
        </w:rPr>
        <w:t>化解程度较好。</w:t>
      </w:r>
      <w:r w:rsidR="006218B5" w:rsidRPr="00675F83">
        <w:rPr>
          <w:rFonts w:ascii="宋体" w:hAnsi="宋体" w:hint="eastAsia"/>
          <w:sz w:val="28"/>
          <w:szCs w:val="28"/>
        </w:rPr>
        <w:t>（见图七）</w:t>
      </w:r>
    </w:p>
    <w:p w:rsidR="00D2782C" w:rsidRPr="00675F83" w:rsidRDefault="00CB0F0F" w:rsidP="00CB0F0F">
      <w:pPr>
        <w:ind w:firstLineChars="200" w:firstLine="600"/>
        <w:jc w:val="center"/>
        <w:rPr>
          <w:rFonts w:ascii="宋体" w:hAnsi="宋体"/>
          <w:sz w:val="30"/>
          <w:szCs w:val="30"/>
        </w:rPr>
      </w:pPr>
      <w:r w:rsidRPr="00675F83">
        <w:rPr>
          <w:rFonts w:ascii="宋体" w:hAnsi="宋体"/>
          <w:noProof/>
          <w:sz w:val="30"/>
          <w:szCs w:val="30"/>
        </w:rPr>
        <w:lastRenderedPageBreak/>
        <w:drawing>
          <wp:inline distT="0" distB="0" distL="0" distR="0">
            <wp:extent cx="4105275" cy="22860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782C" w:rsidRPr="00675F83" w:rsidRDefault="00CB0F0F" w:rsidP="00CB0F0F">
      <w:pPr>
        <w:ind w:firstLineChars="200" w:firstLine="600"/>
        <w:jc w:val="center"/>
        <w:rPr>
          <w:rFonts w:ascii="宋体" w:hAnsi="宋体"/>
          <w:sz w:val="30"/>
          <w:szCs w:val="30"/>
        </w:rPr>
      </w:pPr>
      <w:r w:rsidRPr="00675F83">
        <w:rPr>
          <w:rFonts w:ascii="宋体" w:hAnsi="宋体"/>
          <w:noProof/>
          <w:sz w:val="30"/>
          <w:szCs w:val="30"/>
        </w:rPr>
        <w:drawing>
          <wp:inline distT="0" distB="0" distL="0" distR="0">
            <wp:extent cx="4448175" cy="2733675"/>
            <wp:effectExtent l="0" t="0" r="0" b="0"/>
            <wp:docPr id="6" name="图表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782C" w:rsidRPr="00675F83" w:rsidRDefault="00D2782C"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值得注意的是，裁定驳回起诉的案件数量在2019年有大幅增长，占110件，其中</w:t>
      </w:r>
      <w:r w:rsidR="004A7CD8" w:rsidRPr="00675F83">
        <w:rPr>
          <w:rFonts w:ascii="宋体" w:hAnsi="宋体" w:hint="eastAsia"/>
          <w:sz w:val="28"/>
          <w:szCs w:val="28"/>
        </w:rPr>
        <w:t>的</w:t>
      </w:r>
      <w:r w:rsidRPr="00675F83">
        <w:rPr>
          <w:rFonts w:ascii="宋体" w:hAnsi="宋体" w:hint="eastAsia"/>
          <w:sz w:val="28"/>
          <w:szCs w:val="28"/>
        </w:rPr>
        <w:t>85</w:t>
      </w:r>
      <w:r w:rsidR="004A7CD8" w:rsidRPr="00675F83">
        <w:rPr>
          <w:rFonts w:ascii="宋体" w:hAnsi="宋体" w:hint="eastAsia"/>
          <w:sz w:val="28"/>
          <w:szCs w:val="28"/>
        </w:rPr>
        <w:t>件</w:t>
      </w:r>
      <w:r w:rsidRPr="00675F83">
        <w:rPr>
          <w:rFonts w:ascii="宋体" w:hAnsi="宋体" w:hint="eastAsia"/>
          <w:sz w:val="28"/>
          <w:szCs w:val="28"/>
        </w:rPr>
        <w:t>民间借贷纠纷</w:t>
      </w:r>
      <w:r w:rsidR="004A7CD8" w:rsidRPr="00675F83">
        <w:rPr>
          <w:rFonts w:ascii="宋体" w:hAnsi="宋体" w:hint="eastAsia"/>
          <w:sz w:val="28"/>
          <w:szCs w:val="28"/>
        </w:rPr>
        <w:t>中有较大部分</w:t>
      </w:r>
      <w:r w:rsidR="001036A4" w:rsidRPr="00675F83">
        <w:rPr>
          <w:rFonts w:ascii="宋体" w:hAnsi="宋体" w:hint="eastAsia"/>
          <w:sz w:val="28"/>
          <w:szCs w:val="28"/>
        </w:rPr>
        <w:t>因</w:t>
      </w:r>
      <w:r w:rsidR="004A7CD8" w:rsidRPr="00675F83">
        <w:rPr>
          <w:rFonts w:ascii="宋体" w:hAnsi="宋体" w:hint="eastAsia"/>
          <w:sz w:val="28"/>
          <w:szCs w:val="28"/>
        </w:rPr>
        <w:t>涉嫌犯罪移送公安机关</w:t>
      </w:r>
      <w:r w:rsidRPr="00675F83">
        <w:rPr>
          <w:rFonts w:ascii="宋体" w:hAnsi="宋体" w:hint="eastAsia"/>
          <w:sz w:val="28"/>
          <w:szCs w:val="28"/>
        </w:rPr>
        <w:t>。</w:t>
      </w:r>
      <w:r w:rsidR="007B26C3" w:rsidRPr="00675F83">
        <w:rPr>
          <w:rFonts w:ascii="宋体" w:hAnsi="宋体" w:hint="eastAsia"/>
          <w:sz w:val="28"/>
          <w:szCs w:val="28"/>
        </w:rPr>
        <w:t>静安法</w:t>
      </w:r>
      <w:r w:rsidRPr="00675F83">
        <w:rPr>
          <w:rFonts w:ascii="宋体" w:hAnsi="宋体" w:hint="eastAsia"/>
          <w:sz w:val="28"/>
          <w:szCs w:val="28"/>
        </w:rPr>
        <w:t>院对民间借贷纠纷尤其是涉平台类借贷案件进行审慎处理，亦是国家整顿民间借贷乱</w:t>
      </w:r>
      <w:r w:rsidR="00D90866" w:rsidRPr="00675F83">
        <w:rPr>
          <w:rFonts w:ascii="宋体" w:hAnsi="宋体" w:hint="eastAsia"/>
          <w:sz w:val="28"/>
          <w:szCs w:val="28"/>
        </w:rPr>
        <w:t>象</w:t>
      </w:r>
      <w:r w:rsidRPr="00675F83">
        <w:rPr>
          <w:rFonts w:ascii="宋体" w:hAnsi="宋体" w:hint="eastAsia"/>
          <w:sz w:val="28"/>
          <w:szCs w:val="28"/>
        </w:rPr>
        <w:t>、打击非法借贷中介平台、防范系统金融风险的必然要求。</w:t>
      </w:r>
    </w:p>
    <w:p w:rsidR="00DC7DB0" w:rsidRPr="00675F83" w:rsidRDefault="00DC7DB0" w:rsidP="005740DF">
      <w:pPr>
        <w:adjustRightInd w:val="0"/>
        <w:snapToGrid w:val="0"/>
        <w:spacing w:line="360" w:lineRule="auto"/>
        <w:ind w:firstLineChars="200" w:firstLine="643"/>
        <w:rPr>
          <w:rFonts w:ascii="黑体" w:eastAsia="黑体" w:hAnsi="黑体"/>
          <w:b/>
          <w:sz w:val="32"/>
          <w:szCs w:val="30"/>
        </w:rPr>
      </w:pPr>
    </w:p>
    <w:p w:rsidR="00D2782C" w:rsidRPr="00675F83" w:rsidRDefault="00D2782C" w:rsidP="00C45223">
      <w:pPr>
        <w:adjustRightInd w:val="0"/>
        <w:snapToGrid w:val="0"/>
        <w:spacing w:line="520" w:lineRule="exact"/>
        <w:ind w:firstLineChars="200" w:firstLine="643"/>
        <w:rPr>
          <w:rFonts w:ascii="黑体" w:eastAsia="黑体" w:hAnsi="黑体"/>
          <w:b/>
          <w:sz w:val="32"/>
          <w:szCs w:val="30"/>
        </w:rPr>
      </w:pPr>
      <w:r w:rsidRPr="00675F83">
        <w:rPr>
          <w:rFonts w:ascii="黑体" w:eastAsia="黑体" w:hAnsi="黑体" w:hint="eastAsia"/>
          <w:b/>
          <w:sz w:val="32"/>
          <w:szCs w:val="30"/>
        </w:rPr>
        <w:t>二、2011年</w:t>
      </w:r>
      <w:r w:rsidR="00555034" w:rsidRPr="00675F83">
        <w:rPr>
          <w:rFonts w:ascii="黑体" w:eastAsia="黑体" w:hAnsi="黑体" w:hint="eastAsia"/>
          <w:b/>
          <w:sz w:val="32"/>
          <w:szCs w:val="30"/>
        </w:rPr>
        <w:t>至</w:t>
      </w:r>
      <w:r w:rsidRPr="00675F83">
        <w:rPr>
          <w:rFonts w:ascii="黑体" w:eastAsia="黑体" w:hAnsi="黑体" w:hint="eastAsia"/>
          <w:b/>
          <w:sz w:val="32"/>
          <w:szCs w:val="30"/>
        </w:rPr>
        <w:t>2020年老年人涉诉情况</w:t>
      </w:r>
    </w:p>
    <w:p w:rsidR="00021FB5" w:rsidRPr="00675F83" w:rsidRDefault="00021FB5"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2011年至2020年静安法院受理的涉老民事案件中，老年人仅作为原告参加诉讼的案件为4,000余件，老年人仅作为被告参加诉讼的案件为3,000余件，涉案原、被告双方均有老年人的案件为2,300多件，老年人作为第三人参加诉讼的案件为20余件。2016年起，老年</w:t>
      </w:r>
      <w:r w:rsidRPr="00675F83">
        <w:rPr>
          <w:rFonts w:ascii="宋体" w:hAnsi="宋体" w:hint="eastAsia"/>
          <w:sz w:val="28"/>
          <w:szCs w:val="28"/>
        </w:rPr>
        <w:lastRenderedPageBreak/>
        <w:t>人仅作为原告参加诉讼的案件数量逐渐多于以往老年人仅作为被告参加诉讼的案件数量，这表明老年人的维权意识和法律意识逐步增强，逐渐从传统的厌讼行为发展成为勇于运用法律武器维护自身合法权益。（见图八）</w:t>
      </w:r>
    </w:p>
    <w:p w:rsidR="00021FB5" w:rsidRPr="00675F83" w:rsidRDefault="00021FB5" w:rsidP="00021FB5">
      <w:pPr>
        <w:spacing w:line="360" w:lineRule="auto"/>
        <w:ind w:firstLineChars="200" w:firstLine="600"/>
        <w:jc w:val="center"/>
        <w:rPr>
          <w:rFonts w:ascii="宋体" w:hAnsi="宋体"/>
          <w:sz w:val="30"/>
          <w:szCs w:val="30"/>
        </w:rPr>
      </w:pPr>
      <w:r w:rsidRPr="00675F83">
        <w:rPr>
          <w:rFonts w:ascii="宋体" w:hAnsi="宋体"/>
          <w:noProof/>
          <w:sz w:val="30"/>
          <w:szCs w:val="30"/>
        </w:rPr>
        <w:drawing>
          <wp:inline distT="0" distB="0" distL="0" distR="0">
            <wp:extent cx="4572000" cy="2743200"/>
            <wp:effectExtent l="0" t="0" r="0" b="0"/>
            <wp:docPr id="9" name="图表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21FB5" w:rsidRPr="00675F83" w:rsidRDefault="00021FB5" w:rsidP="00C45223">
      <w:pPr>
        <w:adjustRightInd w:val="0"/>
        <w:snapToGrid w:val="0"/>
        <w:spacing w:line="520" w:lineRule="exact"/>
        <w:ind w:firstLineChars="235" w:firstLine="708"/>
        <w:rPr>
          <w:rFonts w:ascii="宋体" w:hAnsi="宋体"/>
          <w:b/>
          <w:sz w:val="30"/>
          <w:szCs w:val="30"/>
        </w:rPr>
      </w:pPr>
      <w:r w:rsidRPr="00675F83">
        <w:rPr>
          <w:rFonts w:ascii="楷体" w:eastAsia="楷体" w:hAnsi="楷体" w:hint="eastAsia"/>
          <w:b/>
          <w:sz w:val="30"/>
          <w:szCs w:val="30"/>
        </w:rPr>
        <w:t>（二）年龄层次</w:t>
      </w:r>
    </w:p>
    <w:p w:rsidR="00021FB5" w:rsidRPr="00675F83" w:rsidRDefault="00021FB5" w:rsidP="00C45223">
      <w:pPr>
        <w:adjustRightInd w:val="0"/>
        <w:snapToGrid w:val="0"/>
        <w:spacing w:line="520" w:lineRule="exact"/>
        <w:ind w:firstLineChars="235" w:firstLine="658"/>
        <w:rPr>
          <w:rFonts w:ascii="宋体" w:hAnsi="宋体"/>
          <w:sz w:val="28"/>
          <w:szCs w:val="28"/>
        </w:rPr>
      </w:pPr>
      <w:r w:rsidRPr="00675F83">
        <w:rPr>
          <w:rFonts w:ascii="宋体" w:hAnsi="宋体" w:hint="eastAsia"/>
          <w:sz w:val="28"/>
          <w:szCs w:val="28"/>
        </w:rPr>
        <w:t>近十年受理的涉老民事案件中，涉及当事人</w:t>
      </w:r>
      <w:r w:rsidR="000D2338" w:rsidRPr="00675F83">
        <w:rPr>
          <w:rStyle w:val="a5"/>
          <w:rFonts w:ascii="宋体" w:hAnsi="宋体"/>
          <w:sz w:val="28"/>
          <w:szCs w:val="28"/>
        </w:rPr>
        <w:footnoteReference w:id="2"/>
      </w:r>
      <w:r w:rsidRPr="00675F83">
        <w:rPr>
          <w:rFonts w:ascii="宋体" w:hAnsi="宋体" w:hint="eastAsia"/>
          <w:sz w:val="28"/>
          <w:szCs w:val="28"/>
        </w:rPr>
        <w:t>年龄为60-69周岁的案件为6,000余件，当事人年龄为70-79周岁的案件为2,000余件，当事人年龄在80周岁以上的案件为800余件，其中，最高龄当事人为101周岁。可见，60-69周岁的低龄老人是主要的涉老诉讼主体。</w:t>
      </w:r>
    </w:p>
    <w:p w:rsidR="00AE74D4" w:rsidRPr="00675F83" w:rsidRDefault="00AE74D4" w:rsidP="009D1EA8">
      <w:pPr>
        <w:adjustRightInd w:val="0"/>
        <w:snapToGrid w:val="0"/>
        <w:spacing w:line="520" w:lineRule="exact"/>
        <w:jc w:val="center"/>
        <w:rPr>
          <w:rFonts w:ascii="黑体" w:eastAsia="黑体" w:hAnsi="黑体"/>
          <w:b/>
          <w:sz w:val="32"/>
          <w:szCs w:val="32"/>
        </w:rPr>
      </w:pPr>
    </w:p>
    <w:p w:rsidR="006D10DE" w:rsidRPr="00675F83" w:rsidRDefault="006D10DE" w:rsidP="009D1EA8">
      <w:pPr>
        <w:adjustRightInd w:val="0"/>
        <w:snapToGrid w:val="0"/>
        <w:spacing w:line="520" w:lineRule="exact"/>
        <w:jc w:val="center"/>
        <w:rPr>
          <w:rFonts w:ascii="黑体" w:eastAsia="黑体" w:hAnsi="黑体"/>
          <w:b/>
          <w:sz w:val="32"/>
          <w:szCs w:val="32"/>
        </w:rPr>
      </w:pPr>
      <w:r w:rsidRPr="00675F83">
        <w:rPr>
          <w:rFonts w:ascii="黑体" w:eastAsia="黑体" w:hAnsi="黑体" w:hint="eastAsia"/>
          <w:b/>
          <w:sz w:val="32"/>
          <w:szCs w:val="32"/>
        </w:rPr>
        <w:t>传承编·担重任</w:t>
      </w:r>
    </w:p>
    <w:p w:rsidR="00182A28" w:rsidRPr="00675F83" w:rsidRDefault="00182A28" w:rsidP="009D1EA8">
      <w:pPr>
        <w:adjustRightInd w:val="0"/>
        <w:snapToGrid w:val="0"/>
        <w:spacing w:line="520" w:lineRule="exact"/>
        <w:ind w:firstLineChars="200" w:firstLine="643"/>
        <w:rPr>
          <w:rFonts w:ascii="黑体" w:eastAsia="黑体" w:hAnsi="黑体"/>
          <w:b/>
          <w:sz w:val="32"/>
          <w:szCs w:val="32"/>
        </w:rPr>
      </w:pPr>
      <w:r w:rsidRPr="00675F83">
        <w:rPr>
          <w:rFonts w:ascii="黑体" w:eastAsia="黑体" w:hAnsi="黑体" w:hint="eastAsia"/>
          <w:b/>
          <w:sz w:val="32"/>
          <w:szCs w:val="32"/>
        </w:rPr>
        <w:t>一、涉老民事审判特色工作举措</w:t>
      </w:r>
    </w:p>
    <w:p w:rsidR="00182A28" w:rsidRPr="00675F83" w:rsidRDefault="00182A28"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为充分保障老年人诉讼权利，方便老年人参加诉讼，静安法院</w:t>
      </w:r>
      <w:r w:rsidR="00027C6B" w:rsidRPr="00675F83">
        <w:rPr>
          <w:rFonts w:ascii="宋体" w:hAnsi="宋体" w:hint="eastAsia"/>
          <w:sz w:val="28"/>
          <w:szCs w:val="28"/>
        </w:rPr>
        <w:t>不断探索涉老审判工作方法</w:t>
      </w:r>
      <w:r w:rsidRPr="00675F83">
        <w:rPr>
          <w:rFonts w:ascii="宋体" w:hAnsi="宋体" w:hint="eastAsia"/>
          <w:sz w:val="28"/>
          <w:szCs w:val="28"/>
        </w:rPr>
        <w:t>，</w:t>
      </w:r>
      <w:r w:rsidR="00E723AE" w:rsidRPr="00675F83">
        <w:rPr>
          <w:rFonts w:ascii="宋体" w:hAnsi="宋体" w:hint="eastAsia"/>
          <w:sz w:val="28"/>
          <w:szCs w:val="28"/>
        </w:rPr>
        <w:t>1994年制定《上海市静安区人民法院关于审理涉老民事案件的试行规定》，2004年修改通过《上海市静安区人民法院关于审理涉老民事案件的规定》，2012</w:t>
      </w:r>
      <w:r w:rsidR="00027C6B" w:rsidRPr="00675F83">
        <w:rPr>
          <w:rFonts w:ascii="宋体" w:hAnsi="宋体" w:hint="eastAsia"/>
          <w:sz w:val="28"/>
          <w:szCs w:val="28"/>
        </w:rPr>
        <w:t>年</w:t>
      </w:r>
      <w:r w:rsidR="00E723AE" w:rsidRPr="00675F83">
        <w:rPr>
          <w:rFonts w:ascii="宋体" w:hAnsi="宋体" w:hint="eastAsia"/>
          <w:sz w:val="28"/>
          <w:szCs w:val="28"/>
        </w:rPr>
        <w:t>制定《上海市静安区人民法院关</w:t>
      </w:r>
      <w:r w:rsidR="00027C6B" w:rsidRPr="00675F83">
        <w:rPr>
          <w:rFonts w:ascii="宋体" w:hAnsi="宋体" w:hint="eastAsia"/>
          <w:sz w:val="28"/>
          <w:szCs w:val="28"/>
        </w:rPr>
        <w:t>于审理涉老民事案件的规定关于进一步加强涉老审判</w:t>
      </w:r>
      <w:r w:rsidR="00027C6B" w:rsidRPr="00675F83">
        <w:rPr>
          <w:rFonts w:ascii="宋体" w:hAnsi="宋体" w:hint="eastAsia"/>
          <w:sz w:val="28"/>
          <w:szCs w:val="28"/>
        </w:rPr>
        <w:lastRenderedPageBreak/>
        <w:t>工作的若干意见》，逐步推进涉老民事审判工作规范化。具体工作中，</w:t>
      </w:r>
      <w:r w:rsidRPr="00675F83">
        <w:rPr>
          <w:rFonts w:ascii="宋体" w:hAnsi="宋体" w:hint="eastAsia"/>
          <w:sz w:val="28"/>
          <w:szCs w:val="28"/>
        </w:rPr>
        <w:t>始终遵循“方便诉讼、着重调解、审执兼顾、依法保护”与“上门谈话、上门调查、上门开庭、上门回访”的“4+4”工作模式，延伸涉老审判职能，以社会的现实需求为导向，持续</w:t>
      </w:r>
      <w:r w:rsidR="00027C6B" w:rsidRPr="00675F83">
        <w:rPr>
          <w:rFonts w:ascii="宋体" w:hAnsi="宋体" w:hint="eastAsia"/>
          <w:sz w:val="28"/>
          <w:szCs w:val="28"/>
        </w:rPr>
        <w:t>丰富</w:t>
      </w:r>
      <w:r w:rsidRPr="00675F83">
        <w:rPr>
          <w:rFonts w:ascii="宋体" w:hAnsi="宋体" w:hint="eastAsia"/>
          <w:sz w:val="28"/>
          <w:szCs w:val="28"/>
        </w:rPr>
        <w:t>涉老</w:t>
      </w:r>
      <w:r w:rsidR="00027C6B" w:rsidRPr="00675F83">
        <w:rPr>
          <w:rFonts w:ascii="宋体" w:hAnsi="宋体" w:hint="eastAsia"/>
          <w:sz w:val="28"/>
          <w:szCs w:val="28"/>
        </w:rPr>
        <w:t>审判特色</w:t>
      </w:r>
      <w:r w:rsidRPr="00675F83">
        <w:rPr>
          <w:rFonts w:ascii="宋体" w:hAnsi="宋体" w:hint="eastAsia"/>
          <w:sz w:val="28"/>
          <w:szCs w:val="28"/>
        </w:rPr>
        <w:t>工作举措。</w:t>
      </w:r>
    </w:p>
    <w:p w:rsidR="00C3478E" w:rsidRPr="00675F83" w:rsidRDefault="00182A28" w:rsidP="00C45223">
      <w:pPr>
        <w:adjustRightInd w:val="0"/>
        <w:snapToGrid w:val="0"/>
        <w:spacing w:line="520" w:lineRule="exact"/>
        <w:ind w:firstLineChars="235" w:firstLine="708"/>
        <w:rPr>
          <w:rFonts w:ascii="楷体_GB2312" w:eastAsia="楷体_GB2312" w:hAnsi="宋体"/>
          <w:b/>
          <w:sz w:val="30"/>
          <w:szCs w:val="30"/>
        </w:rPr>
      </w:pPr>
      <w:r w:rsidRPr="00675F83">
        <w:rPr>
          <w:rFonts w:ascii="楷体" w:eastAsia="楷体" w:hAnsi="楷体" w:hint="eastAsia"/>
          <w:b/>
          <w:sz w:val="30"/>
          <w:szCs w:val="30"/>
        </w:rPr>
        <w:t>（一）</w:t>
      </w:r>
      <w:r w:rsidR="00032BD9" w:rsidRPr="00675F83">
        <w:rPr>
          <w:rFonts w:ascii="楷体" w:eastAsia="楷体" w:hAnsi="楷体" w:hint="eastAsia"/>
          <w:b/>
          <w:sz w:val="30"/>
          <w:szCs w:val="30"/>
        </w:rPr>
        <w:t>秉承护老理念</w:t>
      </w:r>
      <w:r w:rsidRPr="00675F83">
        <w:rPr>
          <w:rFonts w:ascii="楷体" w:eastAsia="楷体" w:hAnsi="楷体" w:hint="eastAsia"/>
          <w:b/>
          <w:sz w:val="30"/>
          <w:szCs w:val="30"/>
        </w:rPr>
        <w:t>，</w:t>
      </w:r>
      <w:r w:rsidR="00D90866" w:rsidRPr="00675F83">
        <w:rPr>
          <w:rFonts w:ascii="楷体" w:eastAsia="楷体" w:hAnsi="楷体" w:hint="eastAsia"/>
          <w:b/>
          <w:sz w:val="30"/>
          <w:szCs w:val="30"/>
        </w:rPr>
        <w:t>全程为民司法</w:t>
      </w:r>
    </w:p>
    <w:p w:rsidR="00182A28" w:rsidRPr="00675F83" w:rsidRDefault="00182A28"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针对老年人生理条件</w:t>
      </w:r>
      <w:r w:rsidR="00027C6B" w:rsidRPr="00675F83">
        <w:rPr>
          <w:rFonts w:ascii="宋体" w:hAnsi="宋体" w:hint="eastAsia"/>
          <w:sz w:val="28"/>
          <w:szCs w:val="28"/>
        </w:rPr>
        <w:t>较</w:t>
      </w:r>
      <w:r w:rsidRPr="00675F83">
        <w:rPr>
          <w:rFonts w:ascii="宋体" w:hAnsi="宋体" w:hint="eastAsia"/>
          <w:sz w:val="28"/>
          <w:szCs w:val="28"/>
        </w:rPr>
        <w:t>弱、诉讼能力</w:t>
      </w:r>
      <w:r w:rsidR="00027C6B" w:rsidRPr="00675F83">
        <w:rPr>
          <w:rFonts w:ascii="宋体" w:hAnsi="宋体" w:hint="eastAsia"/>
          <w:sz w:val="28"/>
          <w:szCs w:val="28"/>
        </w:rPr>
        <w:t>不强</w:t>
      </w:r>
      <w:r w:rsidRPr="00675F83">
        <w:rPr>
          <w:rFonts w:ascii="宋体" w:hAnsi="宋体" w:hint="eastAsia"/>
          <w:sz w:val="28"/>
          <w:szCs w:val="28"/>
        </w:rPr>
        <w:t>的特点，静安法院为老年当事人提供从立案、审判到执行的</w:t>
      </w:r>
      <w:r w:rsidR="00FF6BC6" w:rsidRPr="00675F83">
        <w:rPr>
          <w:rFonts w:ascii="宋体" w:hAnsi="宋体" w:hint="eastAsia"/>
          <w:sz w:val="28"/>
          <w:szCs w:val="28"/>
        </w:rPr>
        <w:t>全流程</w:t>
      </w:r>
      <w:r w:rsidRPr="00675F83">
        <w:rPr>
          <w:rFonts w:ascii="宋体" w:hAnsi="宋体" w:hint="eastAsia"/>
          <w:sz w:val="28"/>
          <w:szCs w:val="28"/>
        </w:rPr>
        <w:t>优质司法服务。立案阶段，为老年人办理诉讼立案事务设置绿色通道。静安法院是全市首家采取老年人免预约立案的法院，对于没有委托律师作为代理人的60周岁以上当事人，无需经过网上预约，可直接至法院现场立案。审判阶段，加强法官释明权的行使，</w:t>
      </w:r>
      <w:r w:rsidR="00FF6BC6" w:rsidRPr="00675F83">
        <w:rPr>
          <w:rFonts w:ascii="宋体" w:hAnsi="宋体" w:hint="eastAsia"/>
          <w:sz w:val="28"/>
          <w:szCs w:val="28"/>
        </w:rPr>
        <w:t>依法</w:t>
      </w:r>
      <w:r w:rsidRPr="00675F83">
        <w:rPr>
          <w:rFonts w:ascii="宋体" w:hAnsi="宋体" w:hint="eastAsia"/>
          <w:sz w:val="28"/>
          <w:szCs w:val="28"/>
        </w:rPr>
        <w:t>进行诉讼程序和诉讼风险告知，运用通俗易懂的语言</w:t>
      </w:r>
      <w:r w:rsidR="00FF6BC6" w:rsidRPr="00675F83">
        <w:rPr>
          <w:rFonts w:ascii="宋体" w:hAnsi="宋体" w:hint="eastAsia"/>
          <w:sz w:val="28"/>
          <w:szCs w:val="28"/>
        </w:rPr>
        <w:t>指导</w:t>
      </w:r>
      <w:r w:rsidRPr="00675F83">
        <w:rPr>
          <w:rFonts w:ascii="宋体" w:hAnsi="宋体" w:hint="eastAsia"/>
          <w:sz w:val="28"/>
          <w:szCs w:val="28"/>
        </w:rPr>
        <w:t>老年人行使诉讼权利、履行诉讼义务，重视判后答疑。执行阶段，</w:t>
      </w:r>
      <w:r w:rsidR="00FF6BC6" w:rsidRPr="00675F83">
        <w:rPr>
          <w:rFonts w:ascii="宋体" w:hAnsi="宋体" w:hint="eastAsia"/>
          <w:sz w:val="28"/>
          <w:szCs w:val="28"/>
        </w:rPr>
        <w:t>加大财产线索调查与核实力度</w:t>
      </w:r>
      <w:r w:rsidRPr="00675F83">
        <w:rPr>
          <w:rFonts w:ascii="宋体" w:hAnsi="宋体" w:hint="eastAsia"/>
          <w:sz w:val="28"/>
          <w:szCs w:val="28"/>
        </w:rPr>
        <w:t>，努力破解“执行难”问题，保障胜诉老年人权益的实现。</w:t>
      </w:r>
    </w:p>
    <w:p w:rsidR="00C3478E" w:rsidRPr="00675F83" w:rsidRDefault="00881584" w:rsidP="00C45223">
      <w:pPr>
        <w:adjustRightInd w:val="0"/>
        <w:snapToGrid w:val="0"/>
        <w:spacing w:line="520" w:lineRule="exact"/>
        <w:ind w:firstLineChars="200" w:firstLine="602"/>
        <w:rPr>
          <w:rFonts w:ascii="楷体" w:eastAsia="楷体" w:hAnsi="楷体"/>
          <w:b/>
          <w:sz w:val="30"/>
          <w:szCs w:val="30"/>
        </w:rPr>
      </w:pPr>
      <w:r w:rsidRPr="00675F83">
        <w:rPr>
          <w:rFonts w:ascii="楷体" w:eastAsia="楷体" w:hAnsi="楷体" w:hint="eastAsia"/>
          <w:b/>
          <w:sz w:val="30"/>
          <w:szCs w:val="30"/>
        </w:rPr>
        <w:t>（二）</w:t>
      </w:r>
      <w:r w:rsidR="00D90866" w:rsidRPr="00675F83">
        <w:rPr>
          <w:rFonts w:ascii="楷体" w:eastAsia="楷体" w:hAnsi="楷体" w:hint="eastAsia"/>
          <w:b/>
          <w:sz w:val="30"/>
          <w:szCs w:val="30"/>
        </w:rPr>
        <w:t>优化便民措施</w:t>
      </w:r>
      <w:r w:rsidRPr="00675F83">
        <w:rPr>
          <w:rFonts w:ascii="楷体" w:eastAsia="楷体" w:hAnsi="楷体" w:hint="eastAsia"/>
          <w:b/>
          <w:sz w:val="30"/>
          <w:szCs w:val="30"/>
        </w:rPr>
        <w:t>，</w:t>
      </w:r>
      <w:r w:rsidR="000B7EAB" w:rsidRPr="00675F83">
        <w:rPr>
          <w:rFonts w:ascii="楷体" w:eastAsia="楷体" w:hAnsi="楷体" w:hint="eastAsia"/>
          <w:b/>
          <w:sz w:val="30"/>
          <w:szCs w:val="30"/>
        </w:rPr>
        <w:t>深入</w:t>
      </w:r>
      <w:r w:rsidRPr="00675F83">
        <w:rPr>
          <w:rFonts w:ascii="楷体" w:eastAsia="楷体" w:hAnsi="楷体" w:hint="eastAsia"/>
          <w:b/>
          <w:sz w:val="30"/>
          <w:szCs w:val="30"/>
        </w:rPr>
        <w:t>社区开庭</w:t>
      </w:r>
    </w:p>
    <w:p w:rsidR="00182A28" w:rsidRPr="00675F83" w:rsidRDefault="00182A28"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静安法院始终坚持上门调查、</w:t>
      </w:r>
      <w:r w:rsidR="00881584" w:rsidRPr="00675F83">
        <w:rPr>
          <w:rFonts w:ascii="宋体" w:hAnsi="宋体" w:hint="eastAsia"/>
          <w:sz w:val="28"/>
          <w:szCs w:val="28"/>
        </w:rPr>
        <w:t>社区</w:t>
      </w:r>
      <w:r w:rsidRPr="00675F83">
        <w:rPr>
          <w:rFonts w:ascii="宋体" w:hAnsi="宋体" w:hint="eastAsia"/>
          <w:sz w:val="28"/>
          <w:szCs w:val="28"/>
        </w:rPr>
        <w:t>开庭等工作举措，在</w:t>
      </w:r>
      <w:r w:rsidR="00FF6BC6" w:rsidRPr="00675F83">
        <w:rPr>
          <w:rFonts w:ascii="宋体" w:hAnsi="宋体" w:hint="eastAsia"/>
          <w:sz w:val="28"/>
          <w:szCs w:val="28"/>
        </w:rPr>
        <w:t>涉老</w:t>
      </w:r>
      <w:r w:rsidRPr="00675F83">
        <w:rPr>
          <w:rFonts w:ascii="宋体" w:hAnsi="宋体" w:hint="eastAsia"/>
          <w:sz w:val="28"/>
          <w:szCs w:val="28"/>
        </w:rPr>
        <w:t>审判工作中取得了良好效果，已经形成了较为成熟的工作机制。在此基础上，静安法院持续深挖潜力，充分发挥街道社区法庭的作用，定期选取相邻关系纠纷等典型涉老民生案件，由承办法官深入社区开庭，邀请人民调解员、居委干部等基层工作者前来旁听，并于庭后</w:t>
      </w:r>
      <w:r w:rsidR="00E17FC4" w:rsidRPr="00675F83">
        <w:rPr>
          <w:rFonts w:ascii="宋体" w:hAnsi="宋体" w:hint="eastAsia"/>
          <w:sz w:val="28"/>
          <w:szCs w:val="28"/>
        </w:rPr>
        <w:t>释法明理</w:t>
      </w:r>
      <w:r w:rsidR="00FF6BC6" w:rsidRPr="00675F83">
        <w:rPr>
          <w:rFonts w:ascii="宋体" w:hAnsi="宋体" w:hint="eastAsia"/>
          <w:sz w:val="28"/>
          <w:szCs w:val="28"/>
        </w:rPr>
        <w:t>与普法宣讲，落实诉讼便民</w:t>
      </w:r>
      <w:r w:rsidR="006A0A08" w:rsidRPr="00675F83">
        <w:rPr>
          <w:rFonts w:ascii="宋体" w:hAnsi="宋体" w:hint="eastAsia"/>
          <w:sz w:val="28"/>
          <w:szCs w:val="28"/>
        </w:rPr>
        <w:t>措施</w:t>
      </w:r>
      <w:r w:rsidR="00FF6BC6" w:rsidRPr="00675F83">
        <w:rPr>
          <w:rFonts w:ascii="宋体" w:hAnsi="宋体" w:hint="eastAsia"/>
          <w:sz w:val="28"/>
          <w:szCs w:val="28"/>
        </w:rPr>
        <w:t>的同时也增强法治宣传实效。</w:t>
      </w:r>
    </w:p>
    <w:p w:rsidR="00C3478E" w:rsidRPr="00675F83" w:rsidRDefault="00182A28" w:rsidP="00C45223">
      <w:pPr>
        <w:adjustRightInd w:val="0"/>
        <w:snapToGrid w:val="0"/>
        <w:spacing w:line="520" w:lineRule="exact"/>
        <w:ind w:firstLineChars="200" w:firstLine="602"/>
        <w:rPr>
          <w:rFonts w:ascii="楷体" w:eastAsia="楷体" w:hAnsi="楷体"/>
          <w:b/>
          <w:sz w:val="30"/>
          <w:szCs w:val="30"/>
        </w:rPr>
      </w:pPr>
      <w:r w:rsidRPr="00675F83">
        <w:rPr>
          <w:rFonts w:ascii="楷体" w:eastAsia="楷体" w:hAnsi="楷体" w:hint="eastAsia"/>
          <w:b/>
          <w:sz w:val="30"/>
          <w:szCs w:val="30"/>
        </w:rPr>
        <w:t>（三）重视审判效</w:t>
      </w:r>
      <w:r w:rsidR="00780587" w:rsidRPr="00675F83">
        <w:rPr>
          <w:rFonts w:ascii="楷体" w:eastAsia="楷体" w:hAnsi="楷体" w:hint="eastAsia"/>
          <w:b/>
          <w:sz w:val="30"/>
          <w:szCs w:val="30"/>
        </w:rPr>
        <w:t>率，开展线上开庭</w:t>
      </w:r>
    </w:p>
    <w:p w:rsidR="000B7EAB" w:rsidRPr="00675F83" w:rsidRDefault="000B7EAB"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不断探索与优化案件审理模式，提升涉老民事案件审理质效。积极适用庭审记录改革，以在线庭审、录音录像替代庭审笔录、智能语音识别同步转换文字记录等方式开展庭审活动，提高庭审效率。对于</w:t>
      </w:r>
      <w:r w:rsidRPr="00675F83">
        <w:rPr>
          <w:rFonts w:ascii="宋体" w:hAnsi="宋体" w:hint="eastAsia"/>
          <w:sz w:val="28"/>
          <w:szCs w:val="28"/>
        </w:rPr>
        <w:lastRenderedPageBreak/>
        <w:t>因当事人身体原因、身处外地不便来院开庭、被告在监狱服刑等特殊案件，及时通过电话、微信、函件等方式与当事人、有关部门协调联系，成功通过在线庭审、监狱远程开庭等方式开展庭审工作。尤其在疫情防控期间，针对涉及境外或防疫重点地区的当事人，积极创新庭审模式，加强电话沟通，促进纠纷及时高效解决。</w:t>
      </w:r>
    </w:p>
    <w:p w:rsidR="00C3478E" w:rsidRPr="00675F83" w:rsidRDefault="00780587" w:rsidP="00C45223">
      <w:pPr>
        <w:adjustRightInd w:val="0"/>
        <w:snapToGrid w:val="0"/>
        <w:spacing w:line="520" w:lineRule="exact"/>
        <w:ind w:firstLineChars="200" w:firstLine="602"/>
        <w:rPr>
          <w:rFonts w:ascii="楷体" w:eastAsia="楷体" w:hAnsi="楷体"/>
          <w:b/>
          <w:sz w:val="30"/>
          <w:szCs w:val="30"/>
        </w:rPr>
      </w:pPr>
      <w:r w:rsidRPr="00675F83">
        <w:rPr>
          <w:rFonts w:ascii="楷体" w:eastAsia="楷体" w:hAnsi="楷体" w:hint="eastAsia"/>
          <w:b/>
          <w:sz w:val="30"/>
          <w:szCs w:val="30"/>
        </w:rPr>
        <w:t>（四）确保案结事了，推进判后回访</w:t>
      </w:r>
    </w:p>
    <w:p w:rsidR="00B429E5" w:rsidRPr="00675F83" w:rsidRDefault="00B429E5"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针对涉老民事案件涉及的孤寡老人、空巢老人、残疾老人等困顿高龄涉诉群体，积极开展涉民生类案件的判后跟踪和调查回访工作，前往老年人的家中、医院、养老院等处，听取对法院工作的意见与建议，了解审判后续执行情况，助力纠纷得到实质性化解。</w:t>
      </w:r>
    </w:p>
    <w:p w:rsidR="00780587" w:rsidRPr="00675F83" w:rsidRDefault="00780587" w:rsidP="00C45223">
      <w:pPr>
        <w:adjustRightInd w:val="0"/>
        <w:snapToGrid w:val="0"/>
        <w:spacing w:line="520" w:lineRule="exact"/>
        <w:ind w:firstLineChars="200" w:firstLine="602"/>
        <w:rPr>
          <w:rFonts w:ascii="楷体" w:eastAsia="楷体" w:hAnsi="楷体"/>
          <w:b/>
          <w:sz w:val="30"/>
          <w:szCs w:val="30"/>
        </w:rPr>
      </w:pPr>
      <w:r w:rsidRPr="00675F83">
        <w:rPr>
          <w:rFonts w:ascii="楷体" w:eastAsia="楷体" w:hAnsi="楷体" w:hint="eastAsia"/>
          <w:b/>
          <w:sz w:val="30"/>
          <w:szCs w:val="30"/>
        </w:rPr>
        <w:t>（五）注重法宣调研，拓展</w:t>
      </w:r>
      <w:r w:rsidR="00182A28" w:rsidRPr="00675F83">
        <w:rPr>
          <w:rFonts w:ascii="楷体" w:eastAsia="楷体" w:hAnsi="楷体" w:hint="eastAsia"/>
          <w:b/>
          <w:sz w:val="30"/>
          <w:szCs w:val="30"/>
        </w:rPr>
        <w:t>审判延伸</w:t>
      </w:r>
    </w:p>
    <w:p w:rsidR="00B429E5" w:rsidRPr="00675F83" w:rsidRDefault="00B429E5"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积极开展“法暖夕阳进社区”活动，先后与多家单位开展结对共建涉老维权法律咨询活动，与共和新路街道签约“银发盾牌”项目，定期组织法官前往社区、养老机构等处，就老年人普遍关注的问题有针对性地提供法律咨询，践行共建承诺。同时，拓展审判延伸工作，重视审判反馈，加强多发类案宣传，助力源头减少纠纷。编写案例并发布审判白皮书，以审判实例反映社会问题，发挥司法保障职能。</w:t>
      </w:r>
    </w:p>
    <w:p w:rsidR="00AE74D4" w:rsidRPr="00675F83" w:rsidRDefault="00AE74D4" w:rsidP="00C45223">
      <w:pPr>
        <w:adjustRightInd w:val="0"/>
        <w:snapToGrid w:val="0"/>
        <w:spacing w:line="520" w:lineRule="exact"/>
        <w:ind w:firstLineChars="200" w:firstLine="643"/>
        <w:rPr>
          <w:rFonts w:ascii="黑体" w:eastAsia="黑体" w:hAnsi="黑体"/>
          <w:b/>
          <w:sz w:val="32"/>
          <w:szCs w:val="32"/>
        </w:rPr>
      </w:pPr>
    </w:p>
    <w:p w:rsidR="00C3478E" w:rsidRPr="00675F83" w:rsidRDefault="00C3478E" w:rsidP="00C45223">
      <w:pPr>
        <w:adjustRightInd w:val="0"/>
        <w:snapToGrid w:val="0"/>
        <w:spacing w:line="520" w:lineRule="exact"/>
        <w:ind w:firstLineChars="200" w:firstLine="643"/>
        <w:rPr>
          <w:rFonts w:ascii="黑体" w:eastAsia="黑体" w:hAnsi="黑体"/>
          <w:b/>
          <w:sz w:val="32"/>
          <w:szCs w:val="32"/>
        </w:rPr>
      </w:pPr>
      <w:r w:rsidRPr="00675F83">
        <w:rPr>
          <w:rFonts w:ascii="黑体" w:eastAsia="黑体" w:hAnsi="黑体" w:hint="eastAsia"/>
          <w:b/>
          <w:sz w:val="32"/>
          <w:szCs w:val="32"/>
        </w:rPr>
        <w:t>二、涉老民事审判</w:t>
      </w:r>
      <w:r w:rsidR="00FF6BC6" w:rsidRPr="00675F83">
        <w:rPr>
          <w:rFonts w:ascii="黑体" w:eastAsia="黑体" w:hAnsi="黑体" w:hint="eastAsia"/>
          <w:b/>
          <w:sz w:val="32"/>
          <w:szCs w:val="32"/>
        </w:rPr>
        <w:t>典型案件</w:t>
      </w:r>
      <w:r w:rsidRPr="00675F83">
        <w:rPr>
          <w:rFonts w:ascii="黑体" w:eastAsia="黑体" w:hAnsi="黑体" w:hint="eastAsia"/>
          <w:b/>
          <w:sz w:val="32"/>
          <w:szCs w:val="32"/>
        </w:rPr>
        <w:t>分析</w:t>
      </w:r>
    </w:p>
    <w:p w:rsidR="00AB4B0B" w:rsidRPr="00675F83" w:rsidRDefault="00AB4B0B" w:rsidP="00C45223">
      <w:pPr>
        <w:adjustRightInd w:val="0"/>
        <w:snapToGrid w:val="0"/>
        <w:spacing w:line="520" w:lineRule="exact"/>
        <w:ind w:firstLine="562"/>
        <w:jc w:val="left"/>
        <w:rPr>
          <w:rFonts w:ascii="楷体" w:eastAsia="楷体" w:hAnsi="楷体"/>
          <w:b/>
          <w:bCs/>
          <w:sz w:val="30"/>
          <w:szCs w:val="30"/>
        </w:rPr>
      </w:pPr>
      <w:r w:rsidRPr="00675F83">
        <w:rPr>
          <w:rFonts w:ascii="楷体" w:eastAsia="楷体" w:hAnsi="楷体" w:hint="eastAsia"/>
          <w:b/>
          <w:bCs/>
          <w:sz w:val="30"/>
          <w:szCs w:val="30"/>
        </w:rPr>
        <w:t>（一）安保义务类案件</w:t>
      </w:r>
    </w:p>
    <w:p w:rsidR="00AB4B0B"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宋体" w:hint="eastAsia"/>
          <w:b/>
          <w:bCs/>
          <w:sz w:val="30"/>
          <w:szCs w:val="30"/>
        </w:rPr>
        <w:t>1.</w:t>
      </w:r>
      <w:r w:rsidR="00816F8C" w:rsidRPr="00675F83">
        <w:rPr>
          <w:rFonts w:ascii="宋体" w:hint="eastAsia"/>
          <w:b/>
          <w:bCs/>
          <w:sz w:val="30"/>
          <w:szCs w:val="30"/>
        </w:rPr>
        <w:t xml:space="preserve"> </w:t>
      </w:r>
      <w:r w:rsidRPr="00675F83">
        <w:rPr>
          <w:rFonts w:ascii="宋体" w:hint="eastAsia"/>
          <w:b/>
          <w:bCs/>
          <w:sz w:val="30"/>
          <w:szCs w:val="30"/>
        </w:rPr>
        <w:t>典型案例</w:t>
      </w:r>
    </w:p>
    <w:p w:rsidR="00AB4B0B" w:rsidRPr="00675F83" w:rsidRDefault="00AB4B0B" w:rsidP="00C45223">
      <w:pPr>
        <w:adjustRightInd w:val="0"/>
        <w:snapToGrid w:val="0"/>
        <w:spacing w:line="520" w:lineRule="exact"/>
        <w:ind w:firstLine="600"/>
        <w:jc w:val="left"/>
        <w:rPr>
          <w:rFonts w:ascii="宋体" w:hAnsi="宋体"/>
          <w:sz w:val="28"/>
          <w:szCs w:val="28"/>
        </w:rPr>
      </w:pPr>
      <w:r w:rsidRPr="00675F83">
        <w:rPr>
          <w:rFonts w:ascii="宋体" w:hAnsi="宋体" w:hint="eastAsia"/>
          <w:sz w:val="28"/>
          <w:szCs w:val="28"/>
        </w:rPr>
        <w:t>年过六旬的卜某系旅游协会所属团体的会员，在敬老院进行慰问演出过程中摔倒并受伤，经鉴定构成十级伤残，其遂</w:t>
      </w:r>
      <w:r w:rsidR="00E62A15" w:rsidRPr="00675F83">
        <w:rPr>
          <w:rFonts w:ascii="宋体" w:hAnsi="宋体" w:hint="eastAsia"/>
          <w:sz w:val="28"/>
          <w:szCs w:val="28"/>
        </w:rPr>
        <w:t>将</w:t>
      </w:r>
      <w:r w:rsidRPr="00675F83">
        <w:rPr>
          <w:rFonts w:ascii="宋体" w:hAnsi="宋体" w:hint="eastAsia"/>
          <w:sz w:val="28"/>
          <w:szCs w:val="28"/>
        </w:rPr>
        <w:t>旅游协会、敬老院、敬老院所属的街道办事处</w:t>
      </w:r>
      <w:r w:rsidR="00E62A15" w:rsidRPr="00675F83">
        <w:rPr>
          <w:rFonts w:ascii="宋体" w:hAnsi="宋体" w:hint="eastAsia"/>
          <w:sz w:val="28"/>
          <w:szCs w:val="28"/>
        </w:rPr>
        <w:t>作为被告，以其</w:t>
      </w:r>
      <w:r w:rsidRPr="00675F83">
        <w:rPr>
          <w:rFonts w:ascii="宋体" w:hAnsi="宋体" w:hint="eastAsia"/>
          <w:sz w:val="28"/>
          <w:szCs w:val="28"/>
        </w:rPr>
        <w:t>违反安全保障义务为由诉至法院要求共同承担赔偿责任。法院经审理后认为，旅游协会作为非营利性的社会组织，仅向会员发送慰问表演的通知，卜某等志愿</w:t>
      </w:r>
      <w:r w:rsidRPr="00675F83">
        <w:rPr>
          <w:rFonts w:ascii="宋体" w:hAnsi="宋体" w:hint="eastAsia"/>
          <w:sz w:val="28"/>
          <w:szCs w:val="28"/>
        </w:rPr>
        <w:lastRenderedPageBreak/>
        <w:t>者的表演活动具有自发性，且街道办事处对敬老院不实施经营管理，难以认定旅游协会和街道办事处是演出活动的组织者，故两者不应承担赔偿责任。庭审中多名证人证言均证明，表演场地湿滑及卜某穿着鞋底磨平舞鞋表演的事实。敬老院作为表演场地的管理人，在雨天未及时清除地面积水这一安全隐患，系导致卜某摔倒受伤的主要原因，应承担主要的赔偿责任。卜某本人作为参与演出的志愿者，未尽谨慎义务，对其摔倒受伤的损害后果应承担次要责任。因此，法院判决确认敬老院承担60%的责任，卜某本人承担40%的责任。二审法院维持了原审判决。</w:t>
      </w:r>
    </w:p>
    <w:p w:rsidR="00AB4B0B" w:rsidRPr="00675F83" w:rsidRDefault="00816F8C" w:rsidP="00C45223">
      <w:pPr>
        <w:pStyle w:val="ac"/>
        <w:numPr>
          <w:ilvl w:val="0"/>
          <w:numId w:val="2"/>
        </w:numPr>
        <w:adjustRightInd w:val="0"/>
        <w:snapToGrid w:val="0"/>
        <w:spacing w:line="520" w:lineRule="exact"/>
        <w:ind w:firstLineChars="0"/>
        <w:rPr>
          <w:rFonts w:ascii="宋体"/>
          <w:b/>
          <w:bCs/>
          <w:sz w:val="30"/>
          <w:szCs w:val="30"/>
        </w:rPr>
      </w:pPr>
      <w:r w:rsidRPr="00675F83">
        <w:rPr>
          <w:rFonts w:ascii="宋体" w:hint="eastAsia"/>
          <w:b/>
          <w:bCs/>
          <w:sz w:val="30"/>
          <w:szCs w:val="30"/>
        </w:rPr>
        <w:t xml:space="preserve"> </w:t>
      </w:r>
      <w:r w:rsidR="00AB4B0B" w:rsidRPr="00675F83">
        <w:rPr>
          <w:rFonts w:ascii="宋体" w:hint="eastAsia"/>
          <w:b/>
          <w:bCs/>
          <w:sz w:val="30"/>
          <w:szCs w:val="30"/>
        </w:rPr>
        <w:t>类案分析</w:t>
      </w:r>
    </w:p>
    <w:p w:rsidR="00AB4B0B" w:rsidRPr="00675F83" w:rsidRDefault="00AB4B0B" w:rsidP="00C45223">
      <w:pPr>
        <w:adjustRightInd w:val="0"/>
        <w:snapToGrid w:val="0"/>
        <w:spacing w:line="520" w:lineRule="exact"/>
        <w:ind w:firstLine="600"/>
        <w:rPr>
          <w:rFonts w:ascii="宋体" w:hAnsi="宋体"/>
          <w:sz w:val="28"/>
          <w:szCs w:val="28"/>
        </w:rPr>
      </w:pPr>
      <w:r w:rsidRPr="00675F83">
        <w:rPr>
          <w:rFonts w:ascii="宋体" w:hAnsi="宋体" w:hint="eastAsia"/>
          <w:sz w:val="28"/>
          <w:szCs w:val="28"/>
        </w:rPr>
        <w:t>随着经济水平的提高，老年人的精神需求日益增加，参与社会活动的范围也不断扩展，除上述文艺演出中受伤的纠纷外，老年人在跳广场舞、饭店就餐、外出旅游等过程中发生人身损害的案件也呈多发趋势，由此导致老年人以公共场所的经营者或</w:t>
      </w:r>
      <w:r w:rsidR="006A0A08" w:rsidRPr="00675F83">
        <w:rPr>
          <w:rFonts w:ascii="宋体" w:hAnsi="宋体" w:hint="eastAsia"/>
          <w:sz w:val="28"/>
          <w:szCs w:val="28"/>
        </w:rPr>
        <w:t>群众性</w:t>
      </w:r>
      <w:r w:rsidRPr="00675F83">
        <w:rPr>
          <w:rFonts w:ascii="宋体" w:hAnsi="宋体" w:hint="eastAsia"/>
          <w:sz w:val="28"/>
          <w:szCs w:val="28"/>
        </w:rPr>
        <w:t>活动组织者违反安全保障义务为由诉至法院的纠纷频发。</w:t>
      </w:r>
      <w:r w:rsidR="00D57EF2" w:rsidRPr="00675F83">
        <w:rPr>
          <w:rFonts w:ascii="宋体" w:hAnsi="宋体" w:hint="eastAsia"/>
          <w:sz w:val="28"/>
          <w:szCs w:val="28"/>
        </w:rPr>
        <w:t>经分析，</w:t>
      </w:r>
      <w:r w:rsidR="006A0A08" w:rsidRPr="00675F83">
        <w:rPr>
          <w:rFonts w:ascii="宋体" w:hAnsi="宋体" w:hint="eastAsia"/>
          <w:sz w:val="28"/>
          <w:szCs w:val="28"/>
        </w:rPr>
        <w:t>该类案件呈现以下特点：</w:t>
      </w:r>
    </w:p>
    <w:p w:rsidR="002014EA" w:rsidRPr="00675F83" w:rsidRDefault="00AB4B0B" w:rsidP="00C45223">
      <w:pPr>
        <w:adjustRightInd w:val="0"/>
        <w:snapToGrid w:val="0"/>
        <w:spacing w:line="520" w:lineRule="exact"/>
        <w:ind w:firstLine="562"/>
        <w:rPr>
          <w:rFonts w:ascii="仿宋" w:eastAsia="仿宋" w:hAnsi="仿宋"/>
          <w:b/>
          <w:sz w:val="28"/>
          <w:szCs w:val="28"/>
        </w:rPr>
      </w:pPr>
      <w:r w:rsidRPr="00675F83">
        <w:rPr>
          <w:rFonts w:asciiTheme="minorEastAsia" w:eastAsiaTheme="minorEastAsia" w:hAnsiTheme="minorEastAsia" w:hint="eastAsia"/>
          <w:sz w:val="28"/>
          <w:szCs w:val="28"/>
        </w:rPr>
        <w:t>（1）</w:t>
      </w:r>
      <w:r w:rsidR="006A0A08" w:rsidRPr="00675F83">
        <w:rPr>
          <w:rFonts w:asciiTheme="minorEastAsia" w:eastAsiaTheme="minorEastAsia" w:hAnsiTheme="minorEastAsia" w:hint="eastAsia"/>
          <w:sz w:val="28"/>
          <w:szCs w:val="28"/>
        </w:rPr>
        <w:t>事发经过取证难</w:t>
      </w:r>
      <w:r w:rsidR="00AC2615" w:rsidRPr="00675F83">
        <w:rPr>
          <w:rFonts w:asciiTheme="minorEastAsia" w:eastAsiaTheme="minorEastAsia" w:hAnsiTheme="minorEastAsia" w:hint="eastAsia"/>
          <w:sz w:val="28"/>
          <w:szCs w:val="28"/>
        </w:rPr>
        <w:t>。</w:t>
      </w:r>
      <w:r w:rsidR="002014EA" w:rsidRPr="00675F83">
        <w:rPr>
          <w:rFonts w:ascii="宋体" w:hAnsi="宋体" w:hint="eastAsia"/>
          <w:sz w:val="28"/>
          <w:szCs w:val="28"/>
        </w:rPr>
        <w:t>老年人或其亲属在事故发生后，往往缺乏保留证据的意识，没有及时报警或留存现场证据。加之个别公共场所的监控装置不完善，监控存在死角或监控视频保留时间过短，导致证明事发经过的关键证据收集不完整。部分案件中，老年人发生事故后，经营者、组织者将其及时送医并垫付相关医疗费用，双方并未发生争议，故未当即报警或及时留存视频、照片等证据，但后因构成伤残等级等原因后续赔偿金额过大导致双方发生争议时已无法再补充证据。在缺乏直接体现事发过程的案件中，当事人及相关证人对事发经过陈述不一致，案件调查取证难度大。</w:t>
      </w:r>
    </w:p>
    <w:p w:rsidR="00AB4B0B" w:rsidRPr="00675F83" w:rsidRDefault="00AB4B0B" w:rsidP="00C45223">
      <w:pPr>
        <w:adjustRightInd w:val="0"/>
        <w:snapToGrid w:val="0"/>
        <w:spacing w:line="520" w:lineRule="exact"/>
        <w:ind w:firstLine="562"/>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（2）</w:t>
      </w:r>
      <w:r w:rsidR="006A0A08" w:rsidRPr="00675F83">
        <w:rPr>
          <w:rFonts w:asciiTheme="minorEastAsia" w:eastAsiaTheme="minorEastAsia" w:hAnsiTheme="minorEastAsia" w:hint="eastAsia"/>
          <w:sz w:val="28"/>
          <w:szCs w:val="28"/>
        </w:rPr>
        <w:t>责任划分争议大</w:t>
      </w:r>
      <w:r w:rsidR="006944E7" w:rsidRPr="00675F83">
        <w:rPr>
          <w:rFonts w:asciiTheme="minorEastAsia" w:eastAsiaTheme="minorEastAsia" w:hAnsiTheme="minorEastAsia" w:hint="eastAsia"/>
          <w:sz w:val="28"/>
          <w:szCs w:val="28"/>
        </w:rPr>
        <w:t>。</w:t>
      </w:r>
      <w:r w:rsidRPr="00675F83">
        <w:rPr>
          <w:rFonts w:ascii="宋体" w:hAnsi="宋体" w:hint="eastAsia"/>
          <w:sz w:val="28"/>
          <w:szCs w:val="28"/>
        </w:rPr>
        <w:t>老人身体机能状况不佳，随着年龄增长，</w:t>
      </w:r>
      <w:r w:rsidRPr="00675F83">
        <w:rPr>
          <w:rFonts w:ascii="宋体" w:hAnsi="宋体" w:hint="eastAsia"/>
          <w:sz w:val="28"/>
          <w:szCs w:val="28"/>
        </w:rPr>
        <w:lastRenderedPageBreak/>
        <w:t>自身抵御风险能力有所减弱，意外发生后应变处理与自我保护能力大不如前，受伤后一旦构成伤残等级，涉及赔偿金额</w:t>
      </w:r>
      <w:r w:rsidR="00FF6BC6" w:rsidRPr="00675F83">
        <w:rPr>
          <w:rFonts w:ascii="宋体" w:hAnsi="宋体" w:hint="eastAsia"/>
          <w:sz w:val="28"/>
          <w:szCs w:val="28"/>
        </w:rPr>
        <w:t>往往较高</w:t>
      </w:r>
      <w:r w:rsidRPr="00675F83">
        <w:rPr>
          <w:rFonts w:ascii="宋体" w:hAnsi="宋体" w:hint="eastAsia"/>
          <w:sz w:val="28"/>
          <w:szCs w:val="28"/>
        </w:rPr>
        <w:t>。实践中存在的医院病史记录保管不规范、记录不完整等情况，也使得双方当事人对伤势情况认定、伤残等级鉴定有时意见不一致，尤其在缺乏直接证据材料的案件中，对责任承担比例的划分和赔偿范围都有较大争议。加之老年人受伤后治疗周期长，身心皆承受较大痛苦，本人及家属情绪较为激动。因此，违反安全保障</w:t>
      </w:r>
      <w:r w:rsidR="00FF6BC6" w:rsidRPr="00675F83">
        <w:rPr>
          <w:rFonts w:ascii="宋体" w:hAnsi="宋体" w:hint="eastAsia"/>
          <w:sz w:val="28"/>
          <w:szCs w:val="28"/>
        </w:rPr>
        <w:t>义务</w:t>
      </w:r>
      <w:r w:rsidRPr="00675F83">
        <w:rPr>
          <w:rFonts w:ascii="宋体" w:hAnsi="宋体" w:hint="eastAsia"/>
          <w:sz w:val="28"/>
          <w:szCs w:val="28"/>
        </w:rPr>
        <w:t>纠纷类案情往往较为复杂，矛盾激化严重，审结案件难度高。</w:t>
      </w:r>
    </w:p>
    <w:p w:rsidR="00AB4B0B" w:rsidRPr="00675F83" w:rsidRDefault="00AB4B0B" w:rsidP="00C45223">
      <w:pPr>
        <w:adjustRightInd w:val="0"/>
        <w:snapToGrid w:val="0"/>
        <w:spacing w:line="520" w:lineRule="exact"/>
        <w:ind w:firstLine="562"/>
        <w:rPr>
          <w:rFonts w:ascii="仿宋" w:eastAsia="仿宋" w:hAnsi="仿宋"/>
          <w:b/>
          <w:sz w:val="28"/>
          <w:szCs w:val="28"/>
        </w:rPr>
      </w:pPr>
      <w:r w:rsidRPr="00675F83">
        <w:rPr>
          <w:rFonts w:asciiTheme="minorEastAsia" w:eastAsiaTheme="minorEastAsia" w:hAnsiTheme="minorEastAsia" w:hint="eastAsia"/>
          <w:sz w:val="28"/>
          <w:szCs w:val="28"/>
        </w:rPr>
        <w:t>（3）</w:t>
      </w:r>
      <w:r w:rsidR="006A0A08" w:rsidRPr="00675F83">
        <w:rPr>
          <w:rFonts w:asciiTheme="minorEastAsia" w:eastAsiaTheme="minorEastAsia" w:hAnsiTheme="minorEastAsia" w:hint="eastAsia"/>
          <w:sz w:val="28"/>
          <w:szCs w:val="28"/>
        </w:rPr>
        <w:t>义务标准界定难</w:t>
      </w:r>
      <w:r w:rsidR="00636039" w:rsidRPr="00675F83">
        <w:rPr>
          <w:rFonts w:asciiTheme="minorEastAsia" w:eastAsiaTheme="minorEastAsia" w:hAnsiTheme="minorEastAsia" w:hint="eastAsia"/>
          <w:sz w:val="28"/>
          <w:szCs w:val="28"/>
        </w:rPr>
        <w:t>。</w:t>
      </w:r>
      <w:r w:rsidRPr="00675F83">
        <w:rPr>
          <w:rFonts w:ascii="宋体" w:hAnsi="宋体" w:hint="eastAsia"/>
          <w:sz w:val="28"/>
          <w:szCs w:val="28"/>
        </w:rPr>
        <w:t>责任划分的审理重点在于被告</w:t>
      </w:r>
      <w:r w:rsidR="006A0A08" w:rsidRPr="00675F83">
        <w:rPr>
          <w:rFonts w:ascii="宋体" w:hAnsi="宋体" w:hint="eastAsia"/>
          <w:sz w:val="28"/>
          <w:szCs w:val="28"/>
        </w:rPr>
        <w:t>是否</w:t>
      </w:r>
      <w:r w:rsidRPr="00675F83">
        <w:rPr>
          <w:rFonts w:ascii="宋体" w:hAnsi="宋体" w:hint="eastAsia"/>
          <w:sz w:val="28"/>
          <w:szCs w:val="28"/>
        </w:rPr>
        <w:t>尽到合理的安全保障义务。公共场所的管理人或群众性活动的组织者负有的安全保障义务应当符合社会一般价值判断认同的标准，界定在一个合理限度范围内。具体到个案中，经营者或活动组织者可能抗辩已经尽到安全保障义务，而因公共场所的性质不同导致的安全保障义务认定标准不统一，也为案件的审理带来难度。在第三人侵权的场合下，经营者、管理者或组织者未尽到安全保障义务的应承担相应的补充责任，此时认定是否尽到安全保障义务及确定责任承担的比例在审判实践中存在较大争议。</w:t>
      </w:r>
    </w:p>
    <w:p w:rsidR="00AB4B0B" w:rsidRPr="00675F83" w:rsidRDefault="00AB4B0B" w:rsidP="00C45223">
      <w:pPr>
        <w:adjustRightInd w:val="0"/>
        <w:snapToGrid w:val="0"/>
        <w:spacing w:line="520" w:lineRule="exact"/>
        <w:ind w:firstLine="562"/>
        <w:rPr>
          <w:rFonts w:ascii="宋体"/>
          <w:b/>
          <w:bCs/>
          <w:sz w:val="30"/>
          <w:szCs w:val="30"/>
        </w:rPr>
      </w:pPr>
      <w:r w:rsidRPr="00675F83">
        <w:rPr>
          <w:rFonts w:ascii="宋体" w:hint="eastAsia"/>
          <w:b/>
          <w:bCs/>
          <w:sz w:val="30"/>
          <w:szCs w:val="30"/>
        </w:rPr>
        <w:t>3</w:t>
      </w:r>
      <w:r w:rsidR="00816F8C" w:rsidRPr="00675F83">
        <w:rPr>
          <w:rFonts w:ascii="宋体" w:hint="eastAsia"/>
          <w:b/>
          <w:bCs/>
          <w:sz w:val="30"/>
          <w:szCs w:val="30"/>
        </w:rPr>
        <w:t xml:space="preserve">. </w:t>
      </w:r>
      <w:r w:rsidRPr="00675F83">
        <w:rPr>
          <w:rFonts w:ascii="宋体" w:hint="eastAsia"/>
          <w:b/>
          <w:bCs/>
          <w:sz w:val="30"/>
          <w:szCs w:val="30"/>
        </w:rPr>
        <w:t>法官提示</w:t>
      </w:r>
    </w:p>
    <w:p w:rsidR="00AB4B0B" w:rsidRPr="00675F83" w:rsidRDefault="00AB4B0B" w:rsidP="00C45223">
      <w:pPr>
        <w:adjustRightInd w:val="0"/>
        <w:snapToGrid w:val="0"/>
        <w:spacing w:line="520" w:lineRule="exact"/>
        <w:ind w:firstLineChars="196" w:firstLine="549"/>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（1）谨慎履行</w:t>
      </w:r>
      <w:r w:rsidR="000753A7" w:rsidRPr="00675F83">
        <w:rPr>
          <w:rFonts w:asciiTheme="minorEastAsia" w:eastAsiaTheme="minorEastAsia" w:hAnsiTheme="minorEastAsia" w:hint="eastAsia"/>
          <w:sz w:val="28"/>
          <w:szCs w:val="28"/>
        </w:rPr>
        <w:t>评估风险</w:t>
      </w:r>
      <w:r w:rsidR="00FB3D6F" w:rsidRPr="00675F83">
        <w:rPr>
          <w:rFonts w:asciiTheme="minorEastAsia" w:eastAsiaTheme="minorEastAsia" w:hAnsiTheme="minorEastAsia" w:hint="eastAsia"/>
          <w:sz w:val="28"/>
          <w:szCs w:val="28"/>
        </w:rPr>
        <w:t>。</w:t>
      </w:r>
      <w:r w:rsidRPr="00675F83">
        <w:rPr>
          <w:rFonts w:ascii="宋体" w:hAnsi="宋体" w:hint="eastAsia"/>
          <w:sz w:val="28"/>
          <w:szCs w:val="28"/>
        </w:rPr>
        <w:t>老年人在公共场所活动或参加</w:t>
      </w:r>
      <w:r w:rsidR="006A0A08" w:rsidRPr="00675F83">
        <w:rPr>
          <w:rFonts w:ascii="宋体" w:hAnsi="宋体" w:hint="eastAsia"/>
          <w:sz w:val="28"/>
          <w:szCs w:val="28"/>
        </w:rPr>
        <w:t>群众性</w:t>
      </w:r>
      <w:r w:rsidRPr="00675F83">
        <w:rPr>
          <w:rFonts w:ascii="宋体" w:hAnsi="宋体" w:hint="eastAsia"/>
          <w:sz w:val="28"/>
          <w:szCs w:val="28"/>
        </w:rPr>
        <w:t>活动</w:t>
      </w:r>
      <w:r w:rsidR="006A0A08" w:rsidRPr="00675F83">
        <w:rPr>
          <w:rFonts w:ascii="宋体" w:hAnsi="宋体" w:hint="eastAsia"/>
          <w:sz w:val="28"/>
          <w:szCs w:val="28"/>
        </w:rPr>
        <w:t>前</w:t>
      </w:r>
      <w:r w:rsidRPr="00675F83">
        <w:rPr>
          <w:rFonts w:ascii="宋体" w:hAnsi="宋体" w:hint="eastAsia"/>
          <w:sz w:val="28"/>
          <w:szCs w:val="28"/>
        </w:rPr>
        <w:t>，应仔细阅读公共场所的注意事项和安全提示，根据自身的健康状况，评估所要参加活动的风险，量力而行。否则，根据过错责任原则和过失相抵原则，老年人可能对自身损害后果</w:t>
      </w:r>
      <w:r w:rsidR="00B62841" w:rsidRPr="00675F83">
        <w:rPr>
          <w:rFonts w:ascii="宋体" w:hAnsi="宋体" w:hint="eastAsia"/>
          <w:sz w:val="28"/>
          <w:szCs w:val="28"/>
        </w:rPr>
        <w:t>也需</w:t>
      </w:r>
      <w:r w:rsidRPr="00675F83">
        <w:rPr>
          <w:rFonts w:ascii="宋体" w:hAnsi="宋体" w:hint="eastAsia"/>
          <w:sz w:val="28"/>
          <w:szCs w:val="28"/>
        </w:rPr>
        <w:t>要承担相应的责任。</w:t>
      </w:r>
    </w:p>
    <w:p w:rsidR="00AB4B0B" w:rsidRPr="00675F83" w:rsidRDefault="00AB4B0B" w:rsidP="00C45223">
      <w:pPr>
        <w:adjustRightInd w:val="0"/>
        <w:snapToGrid w:val="0"/>
        <w:spacing w:line="520" w:lineRule="exact"/>
        <w:ind w:firstLineChars="196" w:firstLine="549"/>
        <w:rPr>
          <w:rFonts w:ascii="仿宋" w:eastAsia="仿宋" w:hAnsi="仿宋"/>
          <w:b/>
          <w:sz w:val="28"/>
          <w:szCs w:val="28"/>
        </w:rPr>
      </w:pPr>
      <w:r w:rsidRPr="00675F83">
        <w:rPr>
          <w:rFonts w:asciiTheme="minorEastAsia" w:eastAsiaTheme="minorEastAsia" w:hAnsiTheme="minorEastAsia" w:hint="eastAsia"/>
          <w:sz w:val="28"/>
          <w:szCs w:val="28"/>
        </w:rPr>
        <w:t>（2）全面履行安保义务</w:t>
      </w:r>
      <w:r w:rsidR="000753A7" w:rsidRPr="00675F83">
        <w:rPr>
          <w:rFonts w:asciiTheme="minorEastAsia" w:eastAsiaTheme="minorEastAsia" w:hAnsiTheme="minorEastAsia" w:hint="eastAsia"/>
          <w:sz w:val="28"/>
          <w:szCs w:val="28"/>
        </w:rPr>
        <w:t>。</w:t>
      </w:r>
      <w:r w:rsidRPr="00675F83">
        <w:rPr>
          <w:rFonts w:ascii="宋体" w:hAnsi="宋体" w:hint="eastAsia"/>
          <w:sz w:val="28"/>
          <w:szCs w:val="28"/>
        </w:rPr>
        <w:t>公共场所的经营管理者应在地面湿滑、台阶过高等需要特别注意的地方摆放警示标志，加装扶手等助老设施，及时打扫和清理地面，消除安全隐患；</w:t>
      </w:r>
      <w:r w:rsidR="006A0A08" w:rsidRPr="00675F83">
        <w:rPr>
          <w:rFonts w:ascii="宋体" w:hAnsi="宋体" w:hint="eastAsia"/>
          <w:sz w:val="28"/>
          <w:szCs w:val="28"/>
        </w:rPr>
        <w:t>群众性活</w:t>
      </w:r>
      <w:r w:rsidRPr="00675F83">
        <w:rPr>
          <w:rFonts w:ascii="宋体" w:hAnsi="宋体" w:hint="eastAsia"/>
          <w:sz w:val="28"/>
          <w:szCs w:val="28"/>
        </w:rPr>
        <w:t>动的组织者应充分考</w:t>
      </w:r>
      <w:r w:rsidRPr="00675F83">
        <w:rPr>
          <w:rFonts w:ascii="宋体" w:hAnsi="宋体" w:hint="eastAsia"/>
          <w:sz w:val="28"/>
          <w:szCs w:val="28"/>
        </w:rPr>
        <w:lastRenderedPageBreak/>
        <w:t>虑活动可能存在的风险，合理设置活动环节，充分准备场所安保措施，减少危险发生的可能性，保障老年人的安全。尽到安全保障义务要以达到同类经营活动或社会活动从业者现阶段所应当达到的通常程度为标准，对于被保护人负有隐蔽性危险告知义务以及对于受邀者进入经营领域或社会活动领域的一般保护事项负有告知义务和注意义务的，应采取有效方式及时告知老年人。</w:t>
      </w:r>
    </w:p>
    <w:p w:rsidR="00AB4B0B" w:rsidRPr="00675F83" w:rsidRDefault="00AB4B0B" w:rsidP="00C45223">
      <w:pPr>
        <w:adjustRightInd w:val="0"/>
        <w:snapToGrid w:val="0"/>
        <w:spacing w:line="520" w:lineRule="exact"/>
        <w:ind w:firstLineChars="196" w:firstLine="549"/>
        <w:rPr>
          <w:rFonts w:ascii="仿宋" w:eastAsia="仿宋" w:hAnsi="仿宋"/>
          <w:b/>
          <w:sz w:val="28"/>
          <w:szCs w:val="28"/>
        </w:rPr>
      </w:pPr>
      <w:r w:rsidRPr="00675F83">
        <w:rPr>
          <w:rFonts w:asciiTheme="minorEastAsia" w:eastAsiaTheme="minorEastAsia" w:hAnsiTheme="minorEastAsia" w:hint="eastAsia"/>
          <w:sz w:val="28"/>
          <w:szCs w:val="28"/>
        </w:rPr>
        <w:t>（3）</w:t>
      </w:r>
      <w:r w:rsidR="006A0A08" w:rsidRPr="00675F83">
        <w:rPr>
          <w:rFonts w:asciiTheme="minorEastAsia" w:eastAsiaTheme="minorEastAsia" w:hAnsiTheme="minorEastAsia" w:hint="eastAsia"/>
          <w:sz w:val="28"/>
          <w:szCs w:val="28"/>
        </w:rPr>
        <w:t>事发全程及时取证</w:t>
      </w:r>
      <w:r w:rsidR="0057001D" w:rsidRPr="00675F83">
        <w:rPr>
          <w:rFonts w:asciiTheme="minorEastAsia" w:eastAsiaTheme="minorEastAsia" w:hAnsiTheme="minorEastAsia" w:hint="eastAsia"/>
          <w:sz w:val="28"/>
          <w:szCs w:val="28"/>
        </w:rPr>
        <w:t>。</w:t>
      </w:r>
      <w:r w:rsidRPr="00675F83">
        <w:rPr>
          <w:rFonts w:ascii="宋体" w:hAnsi="宋体" w:hint="eastAsia"/>
          <w:sz w:val="28"/>
          <w:szCs w:val="28"/>
        </w:rPr>
        <w:t>在事故发生后，无论对方是否配合送医或者承诺支付所有费用，老年人及其家属均应及时采取有效措施对事发现场的证据予以保留。可以在事故发生后及时报警，将事件发生经过予以陈述，有条件的可以随警察至</w:t>
      </w:r>
      <w:r w:rsidR="00FF6BC6" w:rsidRPr="00675F83">
        <w:rPr>
          <w:rFonts w:ascii="宋体" w:hAnsi="宋体" w:hint="eastAsia"/>
          <w:sz w:val="28"/>
          <w:szCs w:val="28"/>
        </w:rPr>
        <w:t>公安机关</w:t>
      </w:r>
      <w:r w:rsidRPr="00675F83">
        <w:rPr>
          <w:rFonts w:ascii="宋体" w:hAnsi="宋体" w:hint="eastAsia"/>
          <w:sz w:val="28"/>
          <w:szCs w:val="28"/>
        </w:rPr>
        <w:t>制作调查笔录。询问现场是否有监控录像，对于能够直接反映事发过程的视频或照片证据注意保留，还可注意周围有无目睹事发经过的证人，保留相关人员联系方式，以备将来涉诉时提交法院。</w:t>
      </w:r>
    </w:p>
    <w:p w:rsidR="00AB4B0B" w:rsidRPr="00675F83" w:rsidRDefault="00AB4B0B" w:rsidP="00C45223">
      <w:pPr>
        <w:adjustRightInd w:val="0"/>
        <w:snapToGrid w:val="0"/>
        <w:spacing w:line="520" w:lineRule="exact"/>
        <w:ind w:firstLine="562"/>
        <w:rPr>
          <w:rFonts w:ascii="楷体" w:eastAsia="楷体" w:hAnsi="楷体"/>
          <w:b/>
          <w:bCs/>
          <w:sz w:val="30"/>
          <w:szCs w:val="30"/>
        </w:rPr>
      </w:pPr>
      <w:r w:rsidRPr="00675F83">
        <w:rPr>
          <w:rFonts w:ascii="楷体" w:eastAsia="楷体" w:hAnsi="楷体" w:hint="eastAsia"/>
          <w:b/>
          <w:bCs/>
          <w:sz w:val="30"/>
          <w:szCs w:val="30"/>
        </w:rPr>
        <w:t>（二）涉老监护类案件</w:t>
      </w:r>
    </w:p>
    <w:p w:rsidR="00AB4B0B"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宋体" w:hint="eastAsia"/>
          <w:b/>
          <w:bCs/>
          <w:sz w:val="30"/>
          <w:szCs w:val="30"/>
        </w:rPr>
        <w:t>1.</w:t>
      </w:r>
      <w:r w:rsidR="00816F8C" w:rsidRPr="00675F83">
        <w:rPr>
          <w:rFonts w:ascii="宋体" w:hint="eastAsia"/>
          <w:b/>
          <w:bCs/>
          <w:sz w:val="30"/>
          <w:szCs w:val="30"/>
        </w:rPr>
        <w:t xml:space="preserve"> </w:t>
      </w:r>
      <w:r w:rsidRPr="00675F83">
        <w:rPr>
          <w:rFonts w:ascii="宋体" w:hint="eastAsia"/>
          <w:b/>
          <w:bCs/>
          <w:sz w:val="30"/>
          <w:szCs w:val="30"/>
        </w:rPr>
        <w:t>典型案例</w:t>
      </w:r>
    </w:p>
    <w:p w:rsidR="00AB4B0B" w:rsidRPr="00675F83" w:rsidRDefault="00AB4B0B" w:rsidP="00C45223">
      <w:pPr>
        <w:adjustRightInd w:val="0"/>
        <w:snapToGrid w:val="0"/>
        <w:spacing w:line="520" w:lineRule="exact"/>
        <w:ind w:firstLine="600"/>
        <w:rPr>
          <w:rFonts w:ascii="宋体" w:hAnsi="宋体"/>
          <w:sz w:val="28"/>
          <w:szCs w:val="28"/>
        </w:rPr>
      </w:pPr>
      <w:r w:rsidRPr="00675F83">
        <w:rPr>
          <w:rFonts w:ascii="宋体" w:hAnsi="宋体" w:hint="eastAsia"/>
          <w:sz w:val="28"/>
          <w:szCs w:val="28"/>
        </w:rPr>
        <w:t>年近七旬的马某是一名“孤老”，未婚未育，父母皆已去世。马某2017年起至今居住在养老院，2021年被依法宣告为无</w:t>
      </w:r>
      <w:r w:rsidR="00EF2C76" w:rsidRPr="00117446">
        <w:rPr>
          <w:rFonts w:ascii="宋体" w:hAnsi="宋体" w:hint="eastAsia"/>
          <w:sz w:val="28"/>
          <w:szCs w:val="28"/>
        </w:rPr>
        <w:t>民事</w:t>
      </w:r>
      <w:r w:rsidRPr="00117446">
        <w:rPr>
          <w:rFonts w:ascii="宋体" w:hAnsi="宋体" w:hint="eastAsia"/>
          <w:sz w:val="28"/>
          <w:szCs w:val="28"/>
        </w:rPr>
        <w:t>行为能力人。马某胞妹和马某侄子均作为申请人向法院申请要求做监护人。法院经实地走访养老院调查后认为，虽然马某胞妹看望马某</w:t>
      </w:r>
      <w:r w:rsidR="00867B00" w:rsidRPr="00117446">
        <w:rPr>
          <w:rFonts w:ascii="宋体" w:hAnsi="宋体" w:hint="eastAsia"/>
          <w:sz w:val="28"/>
          <w:szCs w:val="28"/>
        </w:rPr>
        <w:t>会</w:t>
      </w:r>
      <w:r w:rsidRPr="00675F83">
        <w:rPr>
          <w:rFonts w:ascii="宋体" w:hAnsi="宋体" w:hint="eastAsia"/>
          <w:sz w:val="28"/>
          <w:szCs w:val="28"/>
        </w:rPr>
        <w:t>为其提供精神慰藉，但马某侄子及其父母多年来对马某照顾较多，一直负责马某的养老院费用支付及相关事务办理，且两申请人均向法院表达希望成为监护人的强烈意愿。因此，从维护马某生活稳定和最有利于马某的角度出发，法院判决由两申请人共同担任马某的监护人，相互监督，相互配合，共同履行监护职责。</w:t>
      </w:r>
    </w:p>
    <w:p w:rsidR="00AB4B0B"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宋体" w:hint="eastAsia"/>
          <w:b/>
          <w:bCs/>
          <w:sz w:val="30"/>
          <w:szCs w:val="30"/>
        </w:rPr>
        <w:t>2.</w:t>
      </w:r>
      <w:r w:rsidR="00816F8C" w:rsidRPr="00675F83">
        <w:rPr>
          <w:rFonts w:ascii="宋体" w:hint="eastAsia"/>
          <w:b/>
          <w:bCs/>
          <w:sz w:val="30"/>
          <w:szCs w:val="30"/>
        </w:rPr>
        <w:t xml:space="preserve"> </w:t>
      </w:r>
      <w:r w:rsidRPr="00675F83">
        <w:rPr>
          <w:rFonts w:ascii="宋体" w:hint="eastAsia"/>
          <w:b/>
          <w:bCs/>
          <w:sz w:val="30"/>
          <w:szCs w:val="30"/>
        </w:rPr>
        <w:t>类案分析</w:t>
      </w:r>
    </w:p>
    <w:p w:rsidR="006A0A08" w:rsidRPr="00675F83" w:rsidRDefault="00FF6BC6" w:rsidP="00C45223">
      <w:pPr>
        <w:adjustRightInd w:val="0"/>
        <w:snapToGrid w:val="0"/>
        <w:spacing w:line="520" w:lineRule="exact"/>
        <w:ind w:firstLine="600"/>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当前，我国人口老龄化趋势较为</w:t>
      </w:r>
      <w:r w:rsidR="00AB4B0B" w:rsidRPr="00675F83">
        <w:rPr>
          <w:rFonts w:asciiTheme="minorEastAsia" w:eastAsiaTheme="minorEastAsia" w:hAnsiTheme="minorEastAsia" w:hint="eastAsia"/>
          <w:sz w:val="28"/>
          <w:szCs w:val="28"/>
        </w:rPr>
        <w:t>明显，正逐步从轻度迈入中度老</w:t>
      </w:r>
      <w:r w:rsidR="00AB4B0B" w:rsidRPr="00675F83">
        <w:rPr>
          <w:rFonts w:asciiTheme="minorEastAsia" w:eastAsiaTheme="minorEastAsia" w:hAnsiTheme="minorEastAsia" w:hint="eastAsia"/>
          <w:sz w:val="28"/>
          <w:szCs w:val="28"/>
        </w:rPr>
        <w:lastRenderedPageBreak/>
        <w:t>龄化社会，司法实践中的老年监护纠纷案件数量逐年攀升。</w:t>
      </w:r>
      <w:r w:rsidR="00D57EF2" w:rsidRPr="00675F83">
        <w:rPr>
          <w:rFonts w:asciiTheme="minorEastAsia" w:eastAsiaTheme="minorEastAsia" w:hAnsiTheme="minorEastAsia" w:hint="eastAsia"/>
          <w:sz w:val="28"/>
          <w:szCs w:val="28"/>
        </w:rPr>
        <w:t>经分析，</w:t>
      </w:r>
      <w:r w:rsidR="006A0A08" w:rsidRPr="00675F83">
        <w:rPr>
          <w:rFonts w:asciiTheme="minorEastAsia" w:eastAsiaTheme="minorEastAsia" w:hAnsiTheme="minorEastAsia" w:hint="eastAsia"/>
          <w:sz w:val="28"/>
          <w:szCs w:val="28"/>
        </w:rPr>
        <w:t>该类案件呈现以下特点：</w:t>
      </w:r>
    </w:p>
    <w:p w:rsidR="00AB4B0B" w:rsidRPr="00675F83" w:rsidRDefault="00AB4B0B" w:rsidP="00C45223">
      <w:pPr>
        <w:adjustRightInd w:val="0"/>
        <w:snapToGrid w:val="0"/>
        <w:spacing w:line="520" w:lineRule="exact"/>
        <w:ind w:firstLine="600"/>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（1）</w:t>
      </w:r>
      <w:r w:rsidR="006A0A08" w:rsidRPr="00675F83">
        <w:rPr>
          <w:rFonts w:asciiTheme="minorEastAsia" w:eastAsiaTheme="minorEastAsia" w:hAnsiTheme="minorEastAsia" w:hint="eastAsia"/>
          <w:sz w:val="28"/>
          <w:szCs w:val="28"/>
        </w:rPr>
        <w:t>客观情况查实难</w:t>
      </w:r>
      <w:r w:rsidR="003623C7"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在涉老监护纠纷中，法院对案件事实如何查证，如何从最有利于被监护人的角度出发为老年人指定监护人，一直是监护纠纷案件审理中的重点和难点。一方面，被监护人已经是部分或完全丧失行为能力的老年人，年事已高，健康状况不理想，很难准确表达意思，对实际生活状况、情感需求等问题也无法全面陈述。另一方面，各方当事人因诉求不同，对被监护人生活起居、就医治疗情况、日常花销管理等方面的陈述往往不一致，这也给案件事实的查证增大了难度。</w:t>
      </w:r>
    </w:p>
    <w:p w:rsidR="00AB4B0B" w:rsidRPr="00675F83" w:rsidRDefault="00AB4B0B" w:rsidP="00C45223">
      <w:pPr>
        <w:adjustRightInd w:val="0"/>
        <w:snapToGrid w:val="0"/>
        <w:spacing w:line="520" w:lineRule="exact"/>
        <w:ind w:firstLine="562"/>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（2）家庭</w:t>
      </w:r>
      <w:r w:rsidR="006A0A08" w:rsidRPr="00675F83">
        <w:rPr>
          <w:rFonts w:asciiTheme="minorEastAsia" w:eastAsiaTheme="minorEastAsia" w:hAnsiTheme="minorEastAsia" w:hint="eastAsia"/>
          <w:sz w:val="28"/>
          <w:szCs w:val="28"/>
        </w:rPr>
        <w:t>内部</w:t>
      </w:r>
      <w:r w:rsidRPr="00675F83">
        <w:rPr>
          <w:rFonts w:asciiTheme="minorEastAsia" w:eastAsiaTheme="minorEastAsia" w:hAnsiTheme="minorEastAsia" w:hint="eastAsia"/>
          <w:sz w:val="28"/>
          <w:szCs w:val="28"/>
        </w:rPr>
        <w:t>矛盾深</w:t>
      </w:r>
      <w:r w:rsidR="003623C7"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在老年人名下有房产或存款的案件中，尤其涉及老年人有动迁利益时，经常会出现子女之间或其他近亲属之间多人争夺监护权的情况，各方当事人矛盾激烈。为避免家庭矛盾，本着多人监护可以相互协助、相互监督的初衷，法院有时会指定两人或三人作为共同监护人。然而，共同监护的场合下各监护人之间常会发生互相指责，或未与其他监护人商量就将被监护人更换养老院，甚至将被监护人藏匿、不让其他监护人接触等情况。另一方面，若仅指定一名监护人，其他有监护资格的人也可能对其是否履行监护义务提出质疑。由于监护纠纷属于适用特别程序的案件，只要出现有当事人认为监护人不适宜或侵害被监护人利益等新情况、新证据，均可再次向法院起诉，故实践中常会出现在法院已经确定监护人后，其他子女或近亲属反复起诉要求变更监护人的“缠诉”式案件。这些案件不仅可能加深家庭内部矛盾，更不利于为老年人提供安定平稳的养老环境。</w:t>
      </w:r>
    </w:p>
    <w:p w:rsidR="00AB4B0B" w:rsidRPr="00675F83" w:rsidRDefault="00AB4B0B" w:rsidP="00C45223">
      <w:pPr>
        <w:adjustRightInd w:val="0"/>
        <w:snapToGrid w:val="0"/>
        <w:spacing w:line="520" w:lineRule="exact"/>
        <w:ind w:firstLineChars="196" w:firstLine="549"/>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（3）</w:t>
      </w:r>
      <w:r w:rsidR="00D57EF2" w:rsidRPr="00675F83">
        <w:rPr>
          <w:rFonts w:asciiTheme="minorEastAsia" w:eastAsiaTheme="minorEastAsia" w:hAnsiTheme="minorEastAsia" w:hint="eastAsia"/>
          <w:sz w:val="28"/>
          <w:szCs w:val="28"/>
        </w:rPr>
        <w:t>监护缺位情况增</w:t>
      </w:r>
      <w:r w:rsidR="0089761E" w:rsidRPr="00675F83">
        <w:rPr>
          <w:rFonts w:asciiTheme="minorEastAsia" w:eastAsiaTheme="minorEastAsia" w:hAnsiTheme="minorEastAsia" w:hint="eastAsia"/>
          <w:sz w:val="28"/>
          <w:szCs w:val="28"/>
        </w:rPr>
        <w:t>长。</w:t>
      </w:r>
      <w:r w:rsidRPr="00675F83">
        <w:rPr>
          <w:rFonts w:ascii="宋体" w:hAnsi="宋体" w:hint="eastAsia"/>
          <w:sz w:val="28"/>
          <w:szCs w:val="28"/>
        </w:rPr>
        <w:t>虽然《民法典》规定设立监护有协议监护</w:t>
      </w:r>
      <w:r w:rsidR="00FF6BC6" w:rsidRPr="00675F83">
        <w:rPr>
          <w:rFonts w:ascii="宋体" w:hAnsi="宋体" w:hint="eastAsia"/>
          <w:sz w:val="28"/>
          <w:szCs w:val="28"/>
        </w:rPr>
        <w:t>、指定监护、意定监护等多种方式，但一旦对监护人的确定争议较大，</w:t>
      </w:r>
      <w:r w:rsidRPr="00675F83">
        <w:rPr>
          <w:rFonts w:ascii="宋体" w:hAnsi="宋体" w:hint="eastAsia"/>
          <w:sz w:val="28"/>
          <w:szCs w:val="28"/>
        </w:rPr>
        <w:t>当事人多会选择诉至法院，要求申请指定、撤销或变更监护人，</w:t>
      </w:r>
      <w:r w:rsidRPr="00675F83">
        <w:rPr>
          <w:rFonts w:ascii="宋体" w:hAnsi="宋体" w:hint="eastAsia"/>
          <w:sz w:val="28"/>
          <w:szCs w:val="28"/>
        </w:rPr>
        <w:lastRenderedPageBreak/>
        <w:t>涉老监护纠纷案件数量不断增加。其中，子女申请作为父母监护人的案件占比最多，而在该类案件中，子女自身为60周岁以上老人的案件更是占有相当重的比例。实践中存在部分无配偶、子女、兄弟姐妹的“孤老”，或者虽然存在相关近亲属但该近亲属本身也无行为能力，这部分老人的监护就成了问题。近年来，“失独老人”的比例亦有所上升，在“失独老人”逐渐迈入高龄阶段后，其监护问题亟待解决。</w:t>
      </w:r>
    </w:p>
    <w:p w:rsidR="00AB4B0B"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宋体" w:hint="eastAsia"/>
          <w:b/>
          <w:bCs/>
          <w:sz w:val="30"/>
          <w:szCs w:val="30"/>
        </w:rPr>
        <w:t>3.</w:t>
      </w:r>
      <w:r w:rsidR="00816F8C" w:rsidRPr="00675F83">
        <w:rPr>
          <w:rFonts w:ascii="宋体" w:hint="eastAsia"/>
          <w:b/>
          <w:bCs/>
          <w:sz w:val="30"/>
          <w:szCs w:val="30"/>
        </w:rPr>
        <w:t xml:space="preserve"> </w:t>
      </w:r>
      <w:r w:rsidRPr="00675F83">
        <w:rPr>
          <w:rFonts w:ascii="宋体" w:hint="eastAsia"/>
          <w:b/>
          <w:bCs/>
          <w:sz w:val="30"/>
          <w:szCs w:val="30"/>
        </w:rPr>
        <w:t>法官提示</w:t>
      </w:r>
    </w:p>
    <w:p w:rsidR="00AB4B0B" w:rsidRPr="00675F83" w:rsidRDefault="00AB4B0B" w:rsidP="00C45223">
      <w:pPr>
        <w:adjustRightInd w:val="0"/>
        <w:snapToGrid w:val="0"/>
        <w:spacing w:line="520" w:lineRule="exact"/>
        <w:ind w:firstLine="562"/>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（1）</w:t>
      </w:r>
      <w:r w:rsidR="00853D15" w:rsidRPr="00675F83">
        <w:rPr>
          <w:rFonts w:asciiTheme="minorEastAsia" w:eastAsiaTheme="minorEastAsia" w:hAnsiTheme="minorEastAsia" w:hint="eastAsia"/>
          <w:sz w:val="28"/>
          <w:szCs w:val="28"/>
        </w:rPr>
        <w:t>全面了解监护制度</w:t>
      </w:r>
      <w:r w:rsidR="002379C3"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子女或其他家庭成员作为申请人的监护纠纷案件多发的深层次原因往往是家庭内部矛盾深，只有抓住问题症结，对症下药，才有可能为老年人确定合适的监护人，保障老年人权益的实现。设立监护的方式除申请法院确定监护人外，还有协议监护、意定监护、指定监护等方式，当事人应全面了解监护制度，</w:t>
      </w:r>
      <w:r w:rsidR="00FF6BC6" w:rsidRPr="00675F83">
        <w:rPr>
          <w:rFonts w:asciiTheme="minorEastAsia" w:eastAsiaTheme="minorEastAsia" w:hAnsiTheme="minorEastAsia" w:hint="eastAsia"/>
          <w:sz w:val="28"/>
          <w:szCs w:val="28"/>
        </w:rPr>
        <w:t>也可</w:t>
      </w:r>
      <w:r w:rsidR="005D79A5" w:rsidRPr="00675F83">
        <w:rPr>
          <w:rFonts w:asciiTheme="minorEastAsia" w:eastAsiaTheme="minorEastAsia" w:hAnsiTheme="minorEastAsia" w:hint="eastAsia"/>
          <w:sz w:val="28"/>
          <w:szCs w:val="28"/>
        </w:rPr>
        <w:t>通过居委会等基层组织解决纠纷，注重</w:t>
      </w:r>
      <w:r w:rsidRPr="00675F83">
        <w:rPr>
          <w:rFonts w:asciiTheme="minorEastAsia" w:eastAsiaTheme="minorEastAsia" w:hAnsiTheme="minorEastAsia" w:hint="eastAsia"/>
          <w:sz w:val="28"/>
          <w:szCs w:val="28"/>
        </w:rPr>
        <w:t>家庭内部</w:t>
      </w:r>
      <w:r w:rsidR="005D79A5" w:rsidRPr="00675F83">
        <w:rPr>
          <w:rFonts w:asciiTheme="minorEastAsia" w:eastAsiaTheme="minorEastAsia" w:hAnsiTheme="minorEastAsia" w:hint="eastAsia"/>
          <w:sz w:val="28"/>
          <w:szCs w:val="28"/>
        </w:rPr>
        <w:t>矛盾的实质性化解</w:t>
      </w:r>
      <w:r w:rsidRPr="00675F83">
        <w:rPr>
          <w:rFonts w:asciiTheme="minorEastAsia" w:eastAsiaTheme="minorEastAsia" w:hAnsiTheme="minorEastAsia" w:hint="eastAsia"/>
          <w:sz w:val="28"/>
          <w:szCs w:val="28"/>
        </w:rPr>
        <w:t>。监护人应谨慎履行监护职责，不得将监护权看作是控制老年人财产的方式，最大限度地保护老年人的合法权益，弘扬中华传统优良家风和孝道文化。</w:t>
      </w:r>
    </w:p>
    <w:p w:rsidR="00AB4B0B" w:rsidRPr="00675F83" w:rsidRDefault="00AB4B0B" w:rsidP="00C45223">
      <w:pPr>
        <w:adjustRightInd w:val="0"/>
        <w:snapToGrid w:val="0"/>
        <w:spacing w:line="520" w:lineRule="exact"/>
        <w:ind w:firstLine="562"/>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（2）</w:t>
      </w:r>
      <w:r w:rsidR="00853D15" w:rsidRPr="00675F83">
        <w:rPr>
          <w:rFonts w:asciiTheme="minorEastAsia" w:eastAsiaTheme="minorEastAsia" w:hAnsiTheme="minorEastAsia" w:hint="eastAsia"/>
          <w:sz w:val="28"/>
          <w:szCs w:val="28"/>
        </w:rPr>
        <w:t>发挥</w:t>
      </w:r>
      <w:r w:rsidRPr="00675F83">
        <w:rPr>
          <w:rFonts w:asciiTheme="minorEastAsia" w:eastAsiaTheme="minorEastAsia" w:hAnsiTheme="minorEastAsia" w:hint="eastAsia"/>
          <w:sz w:val="28"/>
          <w:szCs w:val="28"/>
        </w:rPr>
        <w:t>意定监护</w:t>
      </w:r>
      <w:r w:rsidR="002379C3" w:rsidRPr="00675F83">
        <w:rPr>
          <w:rFonts w:asciiTheme="minorEastAsia" w:eastAsiaTheme="minorEastAsia" w:hAnsiTheme="minorEastAsia" w:hint="eastAsia"/>
          <w:sz w:val="28"/>
          <w:szCs w:val="28"/>
        </w:rPr>
        <w:t>作用。</w:t>
      </w:r>
      <w:r w:rsidRPr="00675F83">
        <w:rPr>
          <w:rFonts w:asciiTheme="minorEastAsia" w:eastAsiaTheme="minorEastAsia" w:hAnsiTheme="minorEastAsia" w:hint="eastAsia"/>
          <w:sz w:val="28"/>
          <w:szCs w:val="28"/>
        </w:rPr>
        <w:t>针对目前失能失智老年人、空巢老人、失独老人增多的社会现状，法院联合民政局、街道办事处、居委会等有关部门，加强对意定监护相关制度的普法宣传。同时，建议公证机构设立绿色通道，鼓励老年人以书面形式，与其近亲属、其他愿意担任监护人的个人或组织事先协商，确定监护人，待老年人丧失或部分丧失民事行为能力时，由其履行监护职责，充分尊重意思自治。</w:t>
      </w:r>
    </w:p>
    <w:p w:rsidR="00AB4B0B" w:rsidRPr="00675F83" w:rsidRDefault="00AB4B0B" w:rsidP="00C45223">
      <w:pPr>
        <w:adjustRightInd w:val="0"/>
        <w:snapToGrid w:val="0"/>
        <w:spacing w:line="520" w:lineRule="exact"/>
        <w:ind w:firstLine="562"/>
        <w:rPr>
          <w:rFonts w:ascii="仿宋" w:eastAsia="仿宋" w:hAnsi="仿宋"/>
          <w:b/>
          <w:sz w:val="28"/>
          <w:szCs w:val="28"/>
        </w:rPr>
      </w:pPr>
      <w:r w:rsidRPr="00675F83">
        <w:rPr>
          <w:rFonts w:asciiTheme="minorEastAsia" w:eastAsiaTheme="minorEastAsia" w:hAnsiTheme="minorEastAsia" w:hint="eastAsia"/>
          <w:sz w:val="28"/>
          <w:szCs w:val="28"/>
        </w:rPr>
        <w:t>（3）完善监护监管机制</w:t>
      </w:r>
      <w:r w:rsidR="00B33FB0" w:rsidRPr="00675F83">
        <w:rPr>
          <w:rFonts w:asciiTheme="minorEastAsia" w:eastAsiaTheme="minorEastAsia" w:hAnsiTheme="minorEastAsia" w:hint="eastAsia"/>
          <w:sz w:val="28"/>
          <w:szCs w:val="28"/>
        </w:rPr>
        <w:t>。</w:t>
      </w:r>
      <w:r w:rsidR="00CB7E43" w:rsidRPr="00675F83">
        <w:rPr>
          <w:rFonts w:ascii="宋体" w:hAnsi="宋体" w:hint="eastAsia"/>
          <w:sz w:val="28"/>
          <w:szCs w:val="28"/>
        </w:rPr>
        <w:t>目前，对监护人的监督</w:t>
      </w:r>
      <w:r w:rsidR="00FF6BC6" w:rsidRPr="00675F83">
        <w:rPr>
          <w:rFonts w:ascii="宋体" w:hAnsi="宋体" w:hint="eastAsia"/>
          <w:sz w:val="28"/>
          <w:szCs w:val="28"/>
        </w:rPr>
        <w:t>机制仍不</w:t>
      </w:r>
      <w:r w:rsidR="00164ABC" w:rsidRPr="00675F83">
        <w:rPr>
          <w:rFonts w:ascii="宋体" w:hAnsi="宋体" w:hint="eastAsia"/>
          <w:sz w:val="28"/>
          <w:szCs w:val="28"/>
        </w:rPr>
        <w:t>尽</w:t>
      </w:r>
      <w:r w:rsidR="00FF6BC6" w:rsidRPr="00675F83">
        <w:rPr>
          <w:rFonts w:ascii="宋体" w:hAnsi="宋体" w:hint="eastAsia"/>
          <w:sz w:val="28"/>
          <w:szCs w:val="28"/>
        </w:rPr>
        <w:t>完善。</w:t>
      </w:r>
      <w:r w:rsidRPr="00675F83">
        <w:rPr>
          <w:rFonts w:ascii="宋体" w:hAnsi="宋体" w:hint="eastAsia"/>
          <w:sz w:val="28"/>
          <w:szCs w:val="28"/>
        </w:rPr>
        <w:t>监护人应当按照最有利于被监护人的原则履行监护职责，除为维护被监护人利益外，不得处分被监护人的财产。监护人有严重损害被监护人身心健康、怠于履行监护职责致被监护人处于危困状态，或实</w:t>
      </w:r>
      <w:r w:rsidRPr="00675F83">
        <w:rPr>
          <w:rFonts w:ascii="宋体" w:hAnsi="宋体" w:hint="eastAsia"/>
          <w:sz w:val="28"/>
          <w:szCs w:val="28"/>
        </w:rPr>
        <w:lastRenderedPageBreak/>
        <w:t>施严重侵害被监护人合法权益的其他行为的，其监护人资格将被撤销。实践中，部分监护人超越监护权限、违背被监护人意志，擅自处分其财产或实施其他行为的情况</w:t>
      </w:r>
      <w:r w:rsidR="00FF6BC6" w:rsidRPr="00675F83">
        <w:rPr>
          <w:rFonts w:ascii="宋体" w:hAnsi="宋体" w:hint="eastAsia"/>
          <w:sz w:val="28"/>
          <w:szCs w:val="28"/>
        </w:rPr>
        <w:t>仍然存在</w:t>
      </w:r>
      <w:r w:rsidRPr="00675F83">
        <w:rPr>
          <w:rFonts w:ascii="宋体" w:hAnsi="宋体" w:hint="eastAsia"/>
          <w:sz w:val="28"/>
          <w:szCs w:val="28"/>
        </w:rPr>
        <w:t>。建议</w:t>
      </w:r>
      <w:r w:rsidR="00F306EE" w:rsidRPr="00675F83">
        <w:rPr>
          <w:rFonts w:ascii="宋体" w:hAnsi="宋体" w:hint="eastAsia"/>
          <w:sz w:val="28"/>
          <w:szCs w:val="28"/>
        </w:rPr>
        <w:t>监护人住所地所属街道、居委会等</w:t>
      </w:r>
      <w:r w:rsidRPr="00675F83">
        <w:rPr>
          <w:rFonts w:ascii="宋体" w:hAnsi="宋体" w:hint="eastAsia"/>
          <w:sz w:val="28"/>
          <w:szCs w:val="28"/>
        </w:rPr>
        <w:t>有关部门</w:t>
      </w:r>
      <w:r w:rsidR="00E24C6B" w:rsidRPr="00675F83">
        <w:rPr>
          <w:rFonts w:ascii="宋体" w:hAnsi="宋体" w:hint="eastAsia"/>
          <w:sz w:val="28"/>
          <w:szCs w:val="28"/>
        </w:rPr>
        <w:t>引入对监护人的监督机制，</w:t>
      </w:r>
      <w:r w:rsidR="00F306EE" w:rsidRPr="00675F83">
        <w:rPr>
          <w:rFonts w:ascii="宋体" w:hAnsi="宋体" w:hint="eastAsia"/>
          <w:sz w:val="28"/>
          <w:szCs w:val="28"/>
        </w:rPr>
        <w:t>如</w:t>
      </w:r>
      <w:r w:rsidR="00FD4075" w:rsidRPr="00675F83">
        <w:rPr>
          <w:rFonts w:ascii="宋体" w:hAnsi="宋体" w:hint="eastAsia"/>
          <w:sz w:val="28"/>
          <w:szCs w:val="28"/>
        </w:rPr>
        <w:t>设置</w:t>
      </w:r>
      <w:r w:rsidR="00E24C6B" w:rsidRPr="00675F83">
        <w:rPr>
          <w:rFonts w:ascii="宋体" w:hAnsi="宋体" w:hint="eastAsia"/>
          <w:sz w:val="28"/>
          <w:szCs w:val="28"/>
        </w:rPr>
        <w:t>监督</w:t>
      </w:r>
      <w:r w:rsidR="00FD4075" w:rsidRPr="00675F83">
        <w:rPr>
          <w:rFonts w:ascii="宋体" w:hAnsi="宋体" w:hint="eastAsia"/>
          <w:sz w:val="28"/>
          <w:szCs w:val="28"/>
        </w:rPr>
        <w:t>监护人履职的</w:t>
      </w:r>
      <w:r w:rsidR="00E24C6B" w:rsidRPr="00675F83">
        <w:rPr>
          <w:rFonts w:ascii="宋体" w:hAnsi="宋体" w:hint="eastAsia"/>
          <w:sz w:val="28"/>
          <w:szCs w:val="28"/>
        </w:rPr>
        <w:t>专门</w:t>
      </w:r>
      <w:r w:rsidR="00FD4075" w:rsidRPr="00675F83">
        <w:rPr>
          <w:rFonts w:ascii="宋体" w:hAnsi="宋体" w:hint="eastAsia"/>
          <w:sz w:val="28"/>
          <w:szCs w:val="28"/>
        </w:rPr>
        <w:t>部门，</w:t>
      </w:r>
      <w:r w:rsidR="00E24C6B" w:rsidRPr="00675F83">
        <w:rPr>
          <w:rFonts w:ascii="宋体" w:hAnsi="宋体" w:hint="eastAsia"/>
          <w:sz w:val="28"/>
          <w:szCs w:val="28"/>
        </w:rPr>
        <w:t>承担监管职能，要求监护人定期</w:t>
      </w:r>
      <w:r w:rsidR="00F306EE" w:rsidRPr="00675F83">
        <w:rPr>
          <w:rFonts w:ascii="宋体" w:hAnsi="宋体" w:hint="eastAsia"/>
          <w:sz w:val="28"/>
          <w:szCs w:val="28"/>
        </w:rPr>
        <w:t>向其报告</w:t>
      </w:r>
      <w:r w:rsidR="00E24C6B" w:rsidRPr="00675F83">
        <w:rPr>
          <w:rFonts w:ascii="宋体" w:hAnsi="宋体" w:hint="eastAsia"/>
          <w:sz w:val="28"/>
          <w:szCs w:val="28"/>
        </w:rPr>
        <w:t>被监护</w:t>
      </w:r>
      <w:r w:rsidR="00F306EE" w:rsidRPr="00675F83">
        <w:rPr>
          <w:rFonts w:ascii="宋体" w:hAnsi="宋体" w:hint="eastAsia"/>
          <w:sz w:val="28"/>
          <w:szCs w:val="28"/>
        </w:rPr>
        <w:t>人的生活安排、财务账目、财产管理</w:t>
      </w:r>
      <w:r w:rsidR="00E24C6B" w:rsidRPr="00675F83">
        <w:rPr>
          <w:rFonts w:ascii="宋体" w:hAnsi="宋体" w:hint="eastAsia"/>
          <w:sz w:val="28"/>
          <w:szCs w:val="28"/>
        </w:rPr>
        <w:t>等</w:t>
      </w:r>
      <w:r w:rsidR="00F306EE" w:rsidRPr="00675F83">
        <w:rPr>
          <w:rFonts w:ascii="宋体" w:hAnsi="宋体" w:hint="eastAsia"/>
          <w:sz w:val="28"/>
          <w:szCs w:val="28"/>
        </w:rPr>
        <w:t>情况</w:t>
      </w:r>
      <w:r w:rsidR="00E24C6B" w:rsidRPr="00675F83">
        <w:rPr>
          <w:rFonts w:ascii="宋体" w:hAnsi="宋体" w:hint="eastAsia"/>
          <w:sz w:val="28"/>
          <w:szCs w:val="28"/>
        </w:rPr>
        <w:t>，一旦发现监护人不履职或不当履职的情形，责令予以纠正</w:t>
      </w:r>
      <w:r w:rsidR="00F306EE" w:rsidRPr="00675F83">
        <w:rPr>
          <w:rFonts w:ascii="宋体" w:hAnsi="宋体" w:hint="eastAsia"/>
          <w:sz w:val="28"/>
          <w:szCs w:val="28"/>
        </w:rPr>
        <w:t>，维护被监护人的利益</w:t>
      </w:r>
      <w:r w:rsidR="00E24C6B" w:rsidRPr="00675F83">
        <w:rPr>
          <w:rFonts w:ascii="宋体" w:hAnsi="宋体" w:hint="eastAsia"/>
          <w:sz w:val="28"/>
          <w:szCs w:val="28"/>
        </w:rPr>
        <w:t>。</w:t>
      </w:r>
    </w:p>
    <w:p w:rsidR="00AB4B0B" w:rsidRPr="00675F83" w:rsidRDefault="00AB4B0B" w:rsidP="00C45223">
      <w:pPr>
        <w:adjustRightInd w:val="0"/>
        <w:snapToGrid w:val="0"/>
        <w:spacing w:line="520" w:lineRule="exact"/>
        <w:ind w:firstLine="562"/>
        <w:jc w:val="left"/>
        <w:rPr>
          <w:rFonts w:ascii="楷体" w:eastAsia="楷体" w:hAnsi="楷体"/>
          <w:b/>
          <w:bCs/>
          <w:sz w:val="30"/>
          <w:szCs w:val="30"/>
        </w:rPr>
      </w:pPr>
      <w:r w:rsidRPr="00675F83">
        <w:rPr>
          <w:rFonts w:ascii="楷体" w:eastAsia="楷体" w:hAnsi="楷体" w:hint="eastAsia"/>
          <w:b/>
          <w:bCs/>
          <w:sz w:val="30"/>
          <w:szCs w:val="30"/>
        </w:rPr>
        <w:t>（三）涉老理财类案件</w:t>
      </w:r>
    </w:p>
    <w:p w:rsidR="00AB4B0B"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宋体" w:hint="eastAsia"/>
          <w:b/>
          <w:bCs/>
          <w:sz w:val="30"/>
          <w:szCs w:val="30"/>
        </w:rPr>
        <w:t>1.</w:t>
      </w:r>
      <w:r w:rsidR="00816F8C" w:rsidRPr="00675F83">
        <w:rPr>
          <w:rFonts w:ascii="宋体" w:hint="eastAsia"/>
          <w:b/>
          <w:bCs/>
          <w:sz w:val="30"/>
          <w:szCs w:val="30"/>
        </w:rPr>
        <w:t xml:space="preserve"> </w:t>
      </w:r>
      <w:r w:rsidRPr="00675F83">
        <w:rPr>
          <w:rFonts w:ascii="宋体" w:hint="eastAsia"/>
          <w:b/>
          <w:bCs/>
          <w:sz w:val="30"/>
          <w:szCs w:val="30"/>
        </w:rPr>
        <w:t>典型案例</w:t>
      </w:r>
    </w:p>
    <w:p w:rsidR="00AB4B0B" w:rsidRPr="00675F83" w:rsidRDefault="00AB4B0B" w:rsidP="00C45223">
      <w:pPr>
        <w:adjustRightInd w:val="0"/>
        <w:snapToGrid w:val="0"/>
        <w:spacing w:line="520" w:lineRule="exact"/>
        <w:ind w:firstLine="600"/>
        <w:rPr>
          <w:rFonts w:ascii="宋体" w:hAnsi="宋体"/>
          <w:sz w:val="28"/>
          <w:szCs w:val="28"/>
        </w:rPr>
      </w:pPr>
      <w:r w:rsidRPr="00675F83">
        <w:rPr>
          <w:rFonts w:ascii="宋体" w:hAnsi="宋体" w:hint="eastAsia"/>
          <w:sz w:val="28"/>
          <w:szCs w:val="28"/>
        </w:rPr>
        <w:t>彭某与张某经人介绍认识。因张某理财经验颇丰，提出可替彭某投资理财的建议，彭某遂于2018年7月4日通过银行转账的方式向张某汇款60</w:t>
      </w:r>
      <w:r w:rsidR="001036A4" w:rsidRPr="00675F83">
        <w:rPr>
          <w:rFonts w:ascii="宋体" w:hAnsi="宋体" w:hint="eastAsia"/>
          <w:sz w:val="28"/>
          <w:szCs w:val="28"/>
        </w:rPr>
        <w:t>0,000</w:t>
      </w:r>
      <w:r w:rsidRPr="00675F83">
        <w:rPr>
          <w:rFonts w:ascii="宋体" w:hAnsi="宋体" w:hint="eastAsia"/>
          <w:sz w:val="28"/>
          <w:szCs w:val="28"/>
        </w:rPr>
        <w:t>元，当日张某向彭某</w:t>
      </w:r>
      <w:r w:rsidRPr="00675F83">
        <w:rPr>
          <w:rFonts w:ascii="宋体" w:hAnsi="宋体"/>
          <w:sz w:val="28"/>
          <w:szCs w:val="28"/>
        </w:rPr>
        <w:t>出具收条，</w:t>
      </w:r>
      <w:r w:rsidRPr="00675F83">
        <w:rPr>
          <w:rFonts w:ascii="宋体" w:hAnsi="宋体" w:hint="eastAsia"/>
          <w:sz w:val="28"/>
          <w:szCs w:val="28"/>
        </w:rPr>
        <w:t>载明</w:t>
      </w:r>
      <w:r w:rsidRPr="00675F83">
        <w:rPr>
          <w:rFonts w:ascii="宋体" w:hAnsi="宋体"/>
          <w:sz w:val="28"/>
          <w:szCs w:val="28"/>
        </w:rPr>
        <w:t>收到彭某委托投资款</w:t>
      </w:r>
      <w:r w:rsidRPr="00675F83">
        <w:rPr>
          <w:rFonts w:ascii="宋体" w:hAnsi="宋体" w:hint="eastAsia"/>
          <w:sz w:val="28"/>
          <w:szCs w:val="28"/>
        </w:rPr>
        <w:t>60</w:t>
      </w:r>
      <w:r w:rsidR="001036A4" w:rsidRPr="00675F83">
        <w:rPr>
          <w:rFonts w:ascii="宋体" w:hAnsi="宋体" w:hint="eastAsia"/>
          <w:sz w:val="28"/>
          <w:szCs w:val="28"/>
        </w:rPr>
        <w:t>0,000</w:t>
      </w:r>
      <w:r w:rsidRPr="00675F83">
        <w:rPr>
          <w:rFonts w:ascii="宋体" w:hAnsi="宋体" w:hint="eastAsia"/>
          <w:sz w:val="28"/>
          <w:szCs w:val="28"/>
        </w:rPr>
        <w:t>元</w:t>
      </w:r>
      <w:r w:rsidRPr="00675F83">
        <w:rPr>
          <w:rFonts w:ascii="宋体" w:hAnsi="宋体"/>
          <w:sz w:val="28"/>
          <w:szCs w:val="28"/>
        </w:rPr>
        <w:t>，委托</w:t>
      </w:r>
      <w:r w:rsidRPr="00675F83">
        <w:rPr>
          <w:rFonts w:ascii="宋体" w:hAnsi="宋体" w:hint="eastAsia"/>
          <w:sz w:val="28"/>
          <w:szCs w:val="28"/>
        </w:rPr>
        <w:t>期限为12个月，承诺每月5日支付彭某投资收益9</w:t>
      </w:r>
      <w:r w:rsidR="001036A4" w:rsidRPr="00675F83">
        <w:rPr>
          <w:rFonts w:ascii="宋体" w:hAnsi="宋体" w:hint="eastAsia"/>
          <w:sz w:val="28"/>
          <w:szCs w:val="28"/>
        </w:rPr>
        <w:t>,</w:t>
      </w:r>
      <w:r w:rsidRPr="00675F83">
        <w:rPr>
          <w:rFonts w:ascii="宋体" w:hAnsi="宋体" w:hint="eastAsia"/>
          <w:sz w:val="28"/>
          <w:szCs w:val="28"/>
        </w:rPr>
        <w:t>000元，于投资期限届满日归还投资款60</w:t>
      </w:r>
      <w:r w:rsidR="001036A4" w:rsidRPr="00675F83">
        <w:rPr>
          <w:rFonts w:ascii="宋体" w:hAnsi="宋体" w:hint="eastAsia"/>
          <w:sz w:val="28"/>
          <w:szCs w:val="28"/>
        </w:rPr>
        <w:t>0,000</w:t>
      </w:r>
      <w:r w:rsidRPr="00675F83">
        <w:rPr>
          <w:rFonts w:ascii="宋体" w:hAnsi="宋体" w:hint="eastAsia"/>
          <w:sz w:val="28"/>
          <w:szCs w:val="28"/>
        </w:rPr>
        <w:t>元。张某当日预付首月收益9</w:t>
      </w:r>
      <w:r w:rsidR="001036A4" w:rsidRPr="00675F83">
        <w:rPr>
          <w:rFonts w:ascii="宋体" w:hAnsi="宋体" w:hint="eastAsia"/>
          <w:sz w:val="28"/>
          <w:szCs w:val="28"/>
        </w:rPr>
        <w:t>,</w:t>
      </w:r>
      <w:r w:rsidRPr="00675F83">
        <w:rPr>
          <w:rFonts w:ascii="宋体" w:hAnsi="宋体" w:hint="eastAsia"/>
          <w:sz w:val="28"/>
          <w:szCs w:val="28"/>
        </w:rPr>
        <w:t>300元。投资期限届满后，彭某与张某续订协议，约定双方的投资期限顺延。2018年8月至2020年7月期间，张某每月向彭某支付9,000元，后</w:t>
      </w:r>
      <w:r w:rsidRPr="00675F83">
        <w:rPr>
          <w:rFonts w:ascii="宋体" w:hAnsi="宋体"/>
          <w:sz w:val="28"/>
          <w:szCs w:val="28"/>
        </w:rPr>
        <w:t>因张某未按约</w:t>
      </w:r>
      <w:r w:rsidRPr="00675F83">
        <w:rPr>
          <w:rFonts w:ascii="宋体" w:hAnsi="宋体" w:hint="eastAsia"/>
          <w:sz w:val="28"/>
          <w:szCs w:val="28"/>
        </w:rPr>
        <w:t>支付收益</w:t>
      </w:r>
      <w:r w:rsidRPr="00675F83">
        <w:rPr>
          <w:rFonts w:ascii="宋体" w:hAnsi="宋体"/>
          <w:sz w:val="28"/>
          <w:szCs w:val="28"/>
        </w:rPr>
        <w:t>，彭某</w:t>
      </w:r>
      <w:r w:rsidRPr="00675F83">
        <w:rPr>
          <w:rFonts w:ascii="宋体" w:hAnsi="宋体" w:hint="eastAsia"/>
          <w:sz w:val="28"/>
          <w:szCs w:val="28"/>
        </w:rPr>
        <w:t>以民间借贷纠纷起诉要求张某归还借款本金并支付相应利息。法院经审理后认为，张</w:t>
      </w:r>
      <w:r w:rsidRPr="00675F83">
        <w:rPr>
          <w:rFonts w:ascii="宋体" w:hAnsi="宋体"/>
          <w:sz w:val="28"/>
          <w:szCs w:val="28"/>
        </w:rPr>
        <w:t>某出具的收条中有支付彭某固定收益并在约定期满后归还投资款</w:t>
      </w:r>
      <w:r w:rsidRPr="00675F83">
        <w:rPr>
          <w:rFonts w:ascii="宋体" w:hAnsi="宋体" w:hint="eastAsia"/>
          <w:sz w:val="28"/>
          <w:szCs w:val="28"/>
        </w:rPr>
        <w:t>的</w:t>
      </w:r>
      <w:r w:rsidRPr="00675F83">
        <w:rPr>
          <w:rFonts w:ascii="宋体" w:hAnsi="宋体"/>
          <w:sz w:val="28"/>
          <w:szCs w:val="28"/>
        </w:rPr>
        <w:t>承诺</w:t>
      </w:r>
      <w:r w:rsidRPr="00675F83">
        <w:rPr>
          <w:rFonts w:ascii="宋体" w:hAnsi="宋体" w:hint="eastAsia"/>
          <w:sz w:val="28"/>
          <w:szCs w:val="28"/>
        </w:rPr>
        <w:t>，其</w:t>
      </w:r>
      <w:r w:rsidRPr="00675F83">
        <w:rPr>
          <w:rFonts w:ascii="宋体" w:hAnsi="宋体"/>
          <w:sz w:val="28"/>
          <w:szCs w:val="28"/>
        </w:rPr>
        <w:t>内容已明确表达了彭某追求资产固定本息回报的缔约目的和合同预期</w:t>
      </w:r>
      <w:r w:rsidRPr="00675F83">
        <w:rPr>
          <w:rFonts w:ascii="宋体" w:hAnsi="宋体" w:hint="eastAsia"/>
          <w:sz w:val="28"/>
          <w:szCs w:val="28"/>
        </w:rPr>
        <w:t>，在</w:t>
      </w:r>
      <w:r w:rsidRPr="00675F83">
        <w:rPr>
          <w:rFonts w:ascii="宋体" w:hAnsi="宋体"/>
          <w:sz w:val="28"/>
          <w:szCs w:val="28"/>
        </w:rPr>
        <w:t>此情形下的所谓投资款与借贷并无区别，应认定为以投资款为表现形式的借贷关系</w:t>
      </w:r>
      <w:r w:rsidRPr="00675F83">
        <w:rPr>
          <w:rFonts w:ascii="宋体" w:hAnsi="宋体" w:hint="eastAsia"/>
          <w:sz w:val="28"/>
          <w:szCs w:val="28"/>
        </w:rPr>
        <w:t>。彭某向张某交付60</w:t>
      </w:r>
      <w:r w:rsidR="001036A4" w:rsidRPr="00675F83">
        <w:rPr>
          <w:rFonts w:ascii="宋体" w:hAnsi="宋体" w:hint="eastAsia"/>
          <w:sz w:val="28"/>
          <w:szCs w:val="28"/>
        </w:rPr>
        <w:t>0,000</w:t>
      </w:r>
      <w:r w:rsidRPr="00675F83">
        <w:rPr>
          <w:rFonts w:ascii="宋体" w:hAnsi="宋体" w:hint="eastAsia"/>
          <w:sz w:val="28"/>
          <w:szCs w:val="28"/>
        </w:rPr>
        <w:t>元当日张某即向彭某转账9</w:t>
      </w:r>
      <w:r w:rsidR="001036A4" w:rsidRPr="00675F83">
        <w:rPr>
          <w:rFonts w:ascii="宋体" w:hAnsi="宋体" w:hint="eastAsia"/>
          <w:sz w:val="28"/>
          <w:szCs w:val="28"/>
        </w:rPr>
        <w:t>,</w:t>
      </w:r>
      <w:r w:rsidRPr="00675F83">
        <w:rPr>
          <w:rFonts w:ascii="宋体" w:hAnsi="宋体" w:hint="eastAsia"/>
          <w:sz w:val="28"/>
          <w:szCs w:val="28"/>
        </w:rPr>
        <w:t>300元，确认彭某主张的实际出借本金为590,700元，应付利息和剩余本金应作相应核减，遂判决张某归还剩余本金并支付相应利息。</w:t>
      </w:r>
    </w:p>
    <w:p w:rsidR="00AB4B0B"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宋体" w:hint="eastAsia"/>
          <w:b/>
          <w:bCs/>
          <w:sz w:val="30"/>
          <w:szCs w:val="30"/>
        </w:rPr>
        <w:t>2.</w:t>
      </w:r>
      <w:r w:rsidR="00816F8C" w:rsidRPr="00675F83">
        <w:rPr>
          <w:rFonts w:ascii="宋体" w:hint="eastAsia"/>
          <w:b/>
          <w:bCs/>
          <w:sz w:val="30"/>
          <w:szCs w:val="30"/>
        </w:rPr>
        <w:t xml:space="preserve"> </w:t>
      </w:r>
      <w:r w:rsidRPr="00675F83">
        <w:rPr>
          <w:rFonts w:ascii="宋体" w:hint="eastAsia"/>
          <w:b/>
          <w:bCs/>
          <w:sz w:val="30"/>
          <w:szCs w:val="30"/>
        </w:rPr>
        <w:t>类案分析</w:t>
      </w:r>
    </w:p>
    <w:p w:rsidR="002014EA" w:rsidRPr="00675F83" w:rsidRDefault="002014EA" w:rsidP="00C45223">
      <w:pPr>
        <w:adjustRightInd w:val="0"/>
        <w:snapToGrid w:val="0"/>
        <w:spacing w:line="520" w:lineRule="exact"/>
        <w:ind w:firstLine="600"/>
        <w:jc w:val="left"/>
        <w:rPr>
          <w:rFonts w:ascii="宋体" w:hAnsi="宋体"/>
          <w:sz w:val="28"/>
          <w:szCs w:val="28"/>
        </w:rPr>
      </w:pPr>
      <w:r w:rsidRPr="00675F83">
        <w:rPr>
          <w:rFonts w:ascii="宋体" w:hAnsi="宋体" w:hint="eastAsia"/>
          <w:sz w:val="28"/>
          <w:szCs w:val="28"/>
        </w:rPr>
        <w:lastRenderedPageBreak/>
        <w:t>近年来，老年人手里的闲置资金越来越多，投资意识增强，但投资渠道却比较单一、闭塞，故实践中出现许多涉老理财类案件。经分析，该类案件呈现以下特点：</w:t>
      </w:r>
    </w:p>
    <w:p w:rsidR="002014EA" w:rsidRPr="00675F83" w:rsidRDefault="002014EA" w:rsidP="00C45223">
      <w:pPr>
        <w:adjustRightInd w:val="0"/>
        <w:snapToGrid w:val="0"/>
        <w:spacing w:line="520" w:lineRule="exact"/>
        <w:ind w:firstLine="600"/>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1）资金流转定性难。在涉老理财类案件中，很多行为模式游走在法律边缘，一些当事人为达到诉讼目的，故意打“擦边球”，对基础法律关系含糊其辞，回避对于基础法律关系的证成，其请求权基础往往不甚明确。静安法院受理的涉老理财类案件中，呈现的案由类型较多，既有以民间借贷纠纷、不当得利纠纷作为案由的案件，也有以委托理财合同纠纷、其他所有权纠纷等作为案由的案件。案由的复杂性从侧面反映出涉老理财类案件所涉基础法律关系类型的复杂性，也体现了此类案件针对资金流转的定性确实存在难度。</w:t>
      </w:r>
    </w:p>
    <w:p w:rsidR="002014EA" w:rsidRPr="00675F83" w:rsidRDefault="002014EA" w:rsidP="00C45223">
      <w:pPr>
        <w:tabs>
          <w:tab w:val="left" w:pos="3310"/>
        </w:tabs>
        <w:adjustRightInd w:val="0"/>
        <w:snapToGrid w:val="0"/>
        <w:spacing w:line="520" w:lineRule="exact"/>
        <w:ind w:firstLine="562"/>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2）刑民交叉情况多。以民间借贷为例，实践中滋生出多种规避法律规定的操作方式，如刻意制造银行流水、变相从事资金池业务、恶意垒高债务等，或有当事人故意隐瞒对自己不利的证据，甚至以放贷为业，行为隐</w:t>
      </w:r>
      <w:r w:rsidRPr="00117446">
        <w:rPr>
          <w:rFonts w:asciiTheme="minorEastAsia" w:eastAsiaTheme="minorEastAsia" w:hAnsiTheme="minorEastAsia" w:hint="eastAsia"/>
          <w:sz w:val="28"/>
          <w:szCs w:val="28"/>
        </w:rPr>
        <w:t>蔽性极强。此类案件在审理中，多会涉及刑事因素的甄别，如是否涉嫌非法吸收公众存款</w:t>
      </w:r>
      <w:r w:rsidRPr="00675F83">
        <w:rPr>
          <w:rFonts w:asciiTheme="minorEastAsia" w:eastAsiaTheme="minorEastAsia" w:hAnsiTheme="minorEastAsia" w:hint="eastAsia"/>
          <w:sz w:val="28"/>
          <w:szCs w:val="28"/>
        </w:rPr>
        <w:t>、诈骗等问题，给案件审理带来风险和难度的同时，也容易导致出资人和融资人均成为受害者。</w:t>
      </w:r>
    </w:p>
    <w:p w:rsidR="002014EA" w:rsidRPr="00675F83" w:rsidRDefault="002014EA" w:rsidP="00C45223">
      <w:pPr>
        <w:adjustRightInd w:val="0"/>
        <w:snapToGrid w:val="0"/>
        <w:spacing w:line="520" w:lineRule="exact"/>
        <w:ind w:firstLine="562"/>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（3）判后执行难度高。审判实践中存在两大类情形：一类情形是担保措施非常完善。此类案件所涉理财</w:t>
      </w:r>
      <w:r w:rsidR="00B62841" w:rsidRPr="00675F83">
        <w:rPr>
          <w:rFonts w:asciiTheme="minorEastAsia" w:eastAsiaTheme="minorEastAsia" w:hAnsiTheme="minorEastAsia" w:hint="eastAsia"/>
          <w:sz w:val="28"/>
          <w:szCs w:val="28"/>
        </w:rPr>
        <w:t>往往</w:t>
      </w:r>
      <w:r w:rsidRPr="00675F83">
        <w:rPr>
          <w:rFonts w:asciiTheme="minorEastAsia" w:eastAsiaTheme="minorEastAsia" w:hAnsiTheme="minorEastAsia" w:hint="eastAsia"/>
          <w:sz w:val="28"/>
          <w:szCs w:val="28"/>
        </w:rPr>
        <w:t>通过中介平台撮合完成，合同的拟定、转账的留痕以及担保措施较完备，但近年来涉平台理财类案件频发，形式新颖，问题复杂，矛盾突出，一旦涉嫌犯罪，人数多、涉面广，大量出资人、融资人的权益无法得到保障，给执行带来难度。另一类情形是担保措施非常欠缺。没有担保或者担保不能起到实质性作用，手续不齐全，担保措施形同虚设，亦导致执行陷入困境。</w:t>
      </w:r>
    </w:p>
    <w:p w:rsidR="006179D4"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宋体" w:hint="eastAsia"/>
          <w:b/>
          <w:bCs/>
          <w:sz w:val="30"/>
          <w:szCs w:val="30"/>
        </w:rPr>
        <w:t>3.</w:t>
      </w:r>
      <w:r w:rsidR="00816F8C" w:rsidRPr="00675F83">
        <w:rPr>
          <w:rFonts w:ascii="宋体" w:hint="eastAsia"/>
          <w:b/>
          <w:bCs/>
          <w:sz w:val="30"/>
          <w:szCs w:val="30"/>
        </w:rPr>
        <w:t xml:space="preserve"> </w:t>
      </w:r>
      <w:r w:rsidRPr="00675F83">
        <w:rPr>
          <w:rFonts w:ascii="宋体" w:hint="eastAsia"/>
          <w:b/>
          <w:bCs/>
          <w:sz w:val="30"/>
          <w:szCs w:val="30"/>
        </w:rPr>
        <w:t>法官提示</w:t>
      </w:r>
    </w:p>
    <w:p w:rsidR="005D3CEA"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Theme="minorEastAsia" w:eastAsiaTheme="minorEastAsia" w:hAnsiTheme="minorEastAsia" w:hint="eastAsia"/>
          <w:sz w:val="28"/>
          <w:szCs w:val="28"/>
        </w:rPr>
        <w:t>（1）</w:t>
      </w:r>
      <w:r w:rsidR="005D3CEA" w:rsidRPr="00675F83">
        <w:rPr>
          <w:rFonts w:asciiTheme="minorEastAsia" w:eastAsiaTheme="minorEastAsia" w:hAnsiTheme="minorEastAsia" w:hint="eastAsia"/>
          <w:sz w:val="28"/>
          <w:szCs w:val="28"/>
        </w:rPr>
        <w:t>依法理性进行投资</w:t>
      </w:r>
      <w:r w:rsidR="006179D4" w:rsidRPr="00675F83">
        <w:rPr>
          <w:rFonts w:asciiTheme="minorEastAsia" w:eastAsiaTheme="minorEastAsia" w:hAnsiTheme="minorEastAsia" w:hint="eastAsia"/>
          <w:sz w:val="28"/>
          <w:szCs w:val="28"/>
        </w:rPr>
        <w:t>。</w:t>
      </w:r>
      <w:r w:rsidR="005D3CEA" w:rsidRPr="00675F83">
        <w:rPr>
          <w:rFonts w:asciiTheme="minorEastAsia" w:eastAsiaTheme="minorEastAsia" w:hAnsiTheme="minorEastAsia" w:hint="eastAsia"/>
          <w:sz w:val="28"/>
          <w:szCs w:val="28"/>
        </w:rPr>
        <w:t>老年家庭应审慎选择投资渠道，注意</w:t>
      </w:r>
      <w:r w:rsidR="005D3CEA" w:rsidRPr="00675F83">
        <w:rPr>
          <w:rFonts w:asciiTheme="minorEastAsia" w:eastAsiaTheme="minorEastAsia" w:hAnsiTheme="minorEastAsia" w:hint="eastAsia"/>
          <w:sz w:val="28"/>
          <w:szCs w:val="28"/>
        </w:rPr>
        <w:lastRenderedPageBreak/>
        <w:t>分散投资，切忌贪图高额利息，以防落入诈骗陷阱。在购买理财产品时，宜通过正规渠道购买，</w:t>
      </w:r>
      <w:r w:rsidR="00220750" w:rsidRPr="00675F83">
        <w:rPr>
          <w:rFonts w:asciiTheme="minorEastAsia" w:eastAsiaTheme="minorEastAsia" w:hAnsiTheme="minorEastAsia" w:hint="eastAsia"/>
          <w:sz w:val="28"/>
          <w:szCs w:val="28"/>
        </w:rPr>
        <w:t>谨防</w:t>
      </w:r>
      <w:r w:rsidR="005D3CEA" w:rsidRPr="00675F83">
        <w:rPr>
          <w:rFonts w:asciiTheme="minorEastAsia" w:eastAsiaTheme="minorEastAsia" w:hAnsiTheme="minorEastAsia" w:hint="eastAsia"/>
          <w:sz w:val="28"/>
          <w:szCs w:val="28"/>
        </w:rPr>
        <w:t>被“路边小广告”诱惑。面对投资理财类广告短信、电话和小程序等，应理性投资，同时注重个人信息的保护。在合同的订立上，应仔细核对合同相对方以及合同金额、履行期限、合同目的等主要条款。若需要设置担保措施，应甄别担保的性质，及时办理相应手续。在钱款的交付上，对于大额款项尽可能通过银行转账等形式交付。若融资人违约，及时寻求相关救济途径，避免因诉讼时效</w:t>
      </w:r>
      <w:r w:rsidR="00D57EF2" w:rsidRPr="00675F83">
        <w:rPr>
          <w:rFonts w:asciiTheme="minorEastAsia" w:eastAsiaTheme="minorEastAsia" w:hAnsiTheme="minorEastAsia" w:hint="eastAsia"/>
          <w:sz w:val="28"/>
          <w:szCs w:val="28"/>
        </w:rPr>
        <w:t>、保证</w:t>
      </w:r>
      <w:r w:rsidR="005D3CEA" w:rsidRPr="00675F83">
        <w:rPr>
          <w:rFonts w:asciiTheme="minorEastAsia" w:eastAsiaTheme="minorEastAsia" w:hAnsiTheme="minorEastAsia" w:hint="eastAsia"/>
          <w:sz w:val="28"/>
          <w:szCs w:val="28"/>
        </w:rPr>
        <w:t>期间的</w:t>
      </w:r>
      <w:r w:rsidR="006B032F" w:rsidRPr="00675F83">
        <w:rPr>
          <w:rFonts w:asciiTheme="minorEastAsia" w:eastAsiaTheme="minorEastAsia" w:hAnsiTheme="minorEastAsia" w:hint="eastAsia"/>
          <w:sz w:val="28"/>
          <w:szCs w:val="28"/>
        </w:rPr>
        <w:t>超</w:t>
      </w:r>
      <w:r w:rsidR="005D3CEA" w:rsidRPr="00675F83">
        <w:rPr>
          <w:rFonts w:asciiTheme="minorEastAsia" w:eastAsiaTheme="minorEastAsia" w:hAnsiTheme="minorEastAsia" w:hint="eastAsia"/>
          <w:sz w:val="28"/>
          <w:szCs w:val="28"/>
        </w:rPr>
        <w:t>过致自身权益无法得到有效的保护。</w:t>
      </w:r>
    </w:p>
    <w:p w:rsidR="005D3CEA" w:rsidRPr="00675F83" w:rsidRDefault="00AB4B0B" w:rsidP="00C45223">
      <w:pPr>
        <w:adjustRightInd w:val="0"/>
        <w:snapToGrid w:val="0"/>
        <w:spacing w:line="520" w:lineRule="exact"/>
        <w:ind w:firstLineChars="200" w:firstLine="560"/>
        <w:jc w:val="left"/>
        <w:rPr>
          <w:rFonts w:asciiTheme="minorEastAsia" w:eastAsiaTheme="minorEastAsia" w:hAnsiTheme="minorEastAsia"/>
          <w:b/>
          <w:bCs/>
          <w:sz w:val="28"/>
          <w:szCs w:val="28"/>
        </w:rPr>
      </w:pPr>
      <w:r w:rsidRPr="00675F83">
        <w:rPr>
          <w:rFonts w:asciiTheme="minorEastAsia" w:eastAsiaTheme="minorEastAsia" w:hAnsiTheme="minorEastAsia" w:hint="eastAsia"/>
          <w:sz w:val="28"/>
          <w:szCs w:val="28"/>
        </w:rPr>
        <w:t>（2）</w:t>
      </w:r>
      <w:r w:rsidR="005D3CEA" w:rsidRPr="00675F83">
        <w:rPr>
          <w:rFonts w:asciiTheme="minorEastAsia" w:eastAsiaTheme="minorEastAsia" w:hAnsiTheme="minorEastAsia" w:hint="eastAsia"/>
          <w:sz w:val="28"/>
          <w:szCs w:val="28"/>
        </w:rPr>
        <w:t>全程审查留存证据</w:t>
      </w:r>
      <w:r w:rsidR="006179D4" w:rsidRPr="00675F83">
        <w:rPr>
          <w:rFonts w:asciiTheme="minorEastAsia" w:eastAsiaTheme="minorEastAsia" w:hAnsiTheme="minorEastAsia" w:hint="eastAsia"/>
          <w:bCs/>
          <w:sz w:val="28"/>
          <w:szCs w:val="28"/>
        </w:rPr>
        <w:t>。</w:t>
      </w:r>
      <w:r w:rsidR="005D3CEA" w:rsidRPr="00675F83">
        <w:rPr>
          <w:rFonts w:asciiTheme="minorEastAsia" w:eastAsiaTheme="minorEastAsia" w:hAnsiTheme="minorEastAsia" w:hint="eastAsia"/>
          <w:sz w:val="28"/>
          <w:szCs w:val="28"/>
        </w:rPr>
        <w:t>涉老理财案件的当事人应强化谨慎审查与证据留存意识。对融资人而言，在整个理财过程中应重点关注融资金额、融资方式、资金用途以及对出资人理财收益的支付情况等方面的审查与证据留存工作；对出资人而言，应明确出资原因、资金来源、资金流向等事实并做好证据留存工作。此外，在涉平台类理财案件中，不管是出资人还是融资人，均应重点审查平台的资质、主营业务，判断有无从事相关业务的资格，是否存在规避法律、恶意阻断出资人和融资人联系、从中抽取高额报酬甚至贷后暴力催收等情形，最大程度保护自身利益。</w:t>
      </w:r>
    </w:p>
    <w:p w:rsidR="005D3CEA" w:rsidRPr="00675F83" w:rsidRDefault="00AB4B0B" w:rsidP="00C45223">
      <w:pPr>
        <w:adjustRightInd w:val="0"/>
        <w:snapToGrid w:val="0"/>
        <w:spacing w:line="520" w:lineRule="exact"/>
        <w:ind w:firstLineChars="200" w:firstLine="560"/>
        <w:jc w:val="left"/>
        <w:rPr>
          <w:rFonts w:asciiTheme="minorEastAsia" w:eastAsiaTheme="minorEastAsia" w:hAnsiTheme="minorEastAsia"/>
          <w:b/>
          <w:sz w:val="28"/>
          <w:szCs w:val="28"/>
        </w:rPr>
      </w:pPr>
      <w:r w:rsidRPr="00675F83">
        <w:rPr>
          <w:rFonts w:asciiTheme="minorEastAsia" w:eastAsiaTheme="minorEastAsia" w:hAnsiTheme="minorEastAsia" w:hint="eastAsia"/>
          <w:sz w:val="28"/>
          <w:szCs w:val="28"/>
        </w:rPr>
        <w:t>（3）</w:t>
      </w:r>
      <w:r w:rsidR="005D3CEA" w:rsidRPr="00675F83">
        <w:rPr>
          <w:rFonts w:asciiTheme="minorEastAsia" w:eastAsiaTheme="minorEastAsia" w:hAnsiTheme="minorEastAsia" w:hint="eastAsia"/>
          <w:sz w:val="28"/>
          <w:szCs w:val="28"/>
        </w:rPr>
        <w:t>审慎选择诉讼依据</w:t>
      </w:r>
      <w:r w:rsidR="006179D4" w:rsidRPr="00675F83">
        <w:rPr>
          <w:rFonts w:asciiTheme="minorEastAsia" w:eastAsiaTheme="minorEastAsia" w:hAnsiTheme="minorEastAsia" w:hint="eastAsia"/>
          <w:sz w:val="28"/>
          <w:szCs w:val="28"/>
        </w:rPr>
        <w:t>。</w:t>
      </w:r>
      <w:r w:rsidR="005D3CEA" w:rsidRPr="00675F83">
        <w:rPr>
          <w:rFonts w:asciiTheme="minorEastAsia" w:eastAsiaTheme="minorEastAsia" w:hAnsiTheme="minorEastAsia" w:hint="eastAsia"/>
          <w:sz w:val="28"/>
          <w:szCs w:val="28"/>
        </w:rPr>
        <w:t>因请求权基础的选择、案件的定性，对案件审理起到至关重要的作用，故若因理财发生纠纷需诉诸法院，涉案当事人应正确厘清</w:t>
      </w:r>
      <w:r w:rsidR="00D57EF2" w:rsidRPr="00675F83">
        <w:rPr>
          <w:rFonts w:asciiTheme="minorEastAsia" w:eastAsiaTheme="minorEastAsia" w:hAnsiTheme="minorEastAsia" w:hint="eastAsia"/>
          <w:sz w:val="28"/>
          <w:szCs w:val="28"/>
        </w:rPr>
        <w:t>案件本质，审慎选择诉讼的法律依据。通过对整个交易模式和合同约定</w:t>
      </w:r>
      <w:r w:rsidR="005D3CEA" w:rsidRPr="00675F83">
        <w:rPr>
          <w:rFonts w:asciiTheme="minorEastAsia" w:eastAsiaTheme="minorEastAsia" w:hAnsiTheme="minorEastAsia" w:hint="eastAsia"/>
          <w:sz w:val="28"/>
          <w:szCs w:val="28"/>
        </w:rPr>
        <w:t>仔细剖析</w:t>
      </w:r>
      <w:r w:rsidR="00D57EF2" w:rsidRPr="00675F83">
        <w:rPr>
          <w:rFonts w:asciiTheme="minorEastAsia" w:eastAsiaTheme="minorEastAsia" w:hAnsiTheme="minorEastAsia" w:hint="eastAsia"/>
          <w:sz w:val="28"/>
          <w:szCs w:val="28"/>
        </w:rPr>
        <w:t>、</w:t>
      </w:r>
      <w:r w:rsidR="005D3CEA" w:rsidRPr="00675F83">
        <w:rPr>
          <w:rFonts w:asciiTheme="minorEastAsia" w:eastAsiaTheme="minorEastAsia" w:hAnsiTheme="minorEastAsia" w:hint="eastAsia"/>
          <w:sz w:val="28"/>
          <w:szCs w:val="28"/>
        </w:rPr>
        <w:t>去伪存真</w:t>
      </w:r>
      <w:r w:rsidR="00D57EF2" w:rsidRPr="00675F83">
        <w:rPr>
          <w:rFonts w:asciiTheme="minorEastAsia" w:eastAsiaTheme="minorEastAsia" w:hAnsiTheme="minorEastAsia" w:hint="eastAsia"/>
          <w:sz w:val="28"/>
          <w:szCs w:val="28"/>
        </w:rPr>
        <w:t>，</w:t>
      </w:r>
      <w:r w:rsidR="005D3CEA" w:rsidRPr="00675F83">
        <w:rPr>
          <w:rFonts w:asciiTheme="minorEastAsia" w:eastAsiaTheme="minorEastAsia" w:hAnsiTheme="minorEastAsia" w:hint="eastAsia"/>
          <w:sz w:val="28"/>
          <w:szCs w:val="28"/>
        </w:rPr>
        <w:t>如合同对投资回报如何约定，是否具有固定的收益；实质上的年化基准利率为多少，是否存在畸高情形；投资的产品是否真实、是否合法；交易模式如何、投资本质是什么；投资人获取投资渠道的来源如何等等。当然，也不可因片面贪图诉讼利益最大化，隐瞒案件重要事实，若干扰法庭事实查明，将承担法律责任。</w:t>
      </w:r>
    </w:p>
    <w:p w:rsidR="00AB4B0B" w:rsidRPr="00675F83" w:rsidRDefault="00AB4B0B" w:rsidP="00C45223">
      <w:pPr>
        <w:adjustRightInd w:val="0"/>
        <w:snapToGrid w:val="0"/>
        <w:spacing w:line="520" w:lineRule="exact"/>
        <w:ind w:firstLine="562"/>
        <w:jc w:val="left"/>
        <w:rPr>
          <w:rFonts w:ascii="楷体" w:eastAsia="楷体" w:hAnsi="楷体"/>
          <w:b/>
          <w:bCs/>
          <w:sz w:val="30"/>
          <w:szCs w:val="30"/>
        </w:rPr>
      </w:pPr>
      <w:r w:rsidRPr="00675F83">
        <w:rPr>
          <w:rFonts w:ascii="楷体" w:eastAsia="楷体" w:hAnsi="楷体" w:hint="eastAsia"/>
          <w:b/>
          <w:bCs/>
          <w:sz w:val="30"/>
          <w:szCs w:val="30"/>
        </w:rPr>
        <w:lastRenderedPageBreak/>
        <w:t>（四）涉老旅游类案件</w:t>
      </w:r>
    </w:p>
    <w:p w:rsidR="00AB4B0B" w:rsidRPr="00675F83" w:rsidRDefault="00AB4B0B" w:rsidP="00C45223">
      <w:pPr>
        <w:adjustRightInd w:val="0"/>
        <w:snapToGrid w:val="0"/>
        <w:spacing w:line="520" w:lineRule="exact"/>
        <w:ind w:firstLine="562"/>
        <w:jc w:val="left"/>
        <w:rPr>
          <w:rFonts w:ascii="宋体"/>
          <w:b/>
          <w:bCs/>
          <w:sz w:val="30"/>
          <w:szCs w:val="30"/>
        </w:rPr>
      </w:pPr>
      <w:r w:rsidRPr="00675F83">
        <w:rPr>
          <w:rFonts w:ascii="宋体" w:hint="eastAsia"/>
          <w:b/>
          <w:bCs/>
          <w:sz w:val="30"/>
          <w:szCs w:val="30"/>
        </w:rPr>
        <w:t>1.</w:t>
      </w:r>
      <w:r w:rsidR="00816F8C" w:rsidRPr="00675F83">
        <w:rPr>
          <w:rFonts w:ascii="宋体" w:hint="eastAsia"/>
          <w:b/>
          <w:bCs/>
          <w:sz w:val="30"/>
          <w:szCs w:val="30"/>
        </w:rPr>
        <w:t xml:space="preserve"> </w:t>
      </w:r>
      <w:r w:rsidRPr="00675F83">
        <w:rPr>
          <w:rFonts w:ascii="宋体" w:hint="eastAsia"/>
          <w:b/>
          <w:bCs/>
          <w:sz w:val="30"/>
          <w:szCs w:val="30"/>
        </w:rPr>
        <w:t>典型案例</w:t>
      </w:r>
    </w:p>
    <w:p w:rsidR="006B032F" w:rsidRPr="00675F83" w:rsidRDefault="006B032F" w:rsidP="00C45223">
      <w:pPr>
        <w:adjustRightInd w:val="0"/>
        <w:snapToGrid w:val="0"/>
        <w:spacing w:line="520" w:lineRule="exact"/>
        <w:ind w:firstLine="600"/>
        <w:jc w:val="left"/>
        <w:rPr>
          <w:rFonts w:ascii="宋体" w:hAnsi="宋体"/>
          <w:sz w:val="28"/>
          <w:szCs w:val="28"/>
        </w:rPr>
      </w:pPr>
      <w:r w:rsidRPr="00675F83">
        <w:rPr>
          <w:rFonts w:ascii="宋体" w:hAnsi="宋体" w:hint="eastAsia"/>
          <w:sz w:val="28"/>
          <w:szCs w:val="28"/>
        </w:rPr>
        <w:t>2019年12月，于某代表一行二十人（均系老年人）与案外人张某协商前往福建旅游事宜。经与张某确认后，当月即向张某交付二十人的旅游费用。12月30日，于某收到北京某旅行社分公司发送的电子合同，后因参团人员变动，合同经多次修改，北京某旅行社分公司数次向于某发送的电子合同均带有其合同专用章。2020年1月13日，北京某旅行社分公司作为乙方再次向于某发送电子合同，并由于某作为甲方代表二十人签字予以确认，对签约双方、旅游产品名称、旅游日期、旅游费用缴纳及双方的权利义务等事项作了约定，并附有游客身份信息和旅游行程单。后因疫情，于某等人未能出行，与张某沟通退款事宜未果，遂起诉要求退还旅游费用。法院经审理认为，张某虽无相应代理权限，但综合考虑其可决定合同的修改等行为并结合旅游合同</w:t>
      </w:r>
      <w:r w:rsidR="00C814F0" w:rsidRPr="00675F83">
        <w:rPr>
          <w:rFonts w:ascii="宋体" w:hAnsi="宋体" w:hint="eastAsia"/>
          <w:sz w:val="28"/>
          <w:szCs w:val="28"/>
        </w:rPr>
        <w:t>签订的惯例，其行为存在有代理权授予的外观，于某对此形成合理信赖,</w:t>
      </w:r>
      <w:r w:rsidRPr="00675F83">
        <w:rPr>
          <w:rFonts w:ascii="宋体" w:hAnsi="宋体" w:hint="eastAsia"/>
          <w:sz w:val="28"/>
          <w:szCs w:val="28"/>
        </w:rPr>
        <w:t>张某在没有代理权的情况下实施代理行为，构成表见代理，遂判决北京某旅行社、北京某旅行社分公司将旅游费用返还于某等人。该起案件对于处理类案有示范意义，对于老年人合法合理维权、规范旅游行业、疫情期间团体性案件的解决、维护社会稳定等方面具有积极作用，入选最高人民法院发布的“人民法院老年人权益保护十大典型案例”。</w:t>
      </w:r>
    </w:p>
    <w:p w:rsidR="00AB4B0B" w:rsidRPr="00675F83" w:rsidRDefault="00AB4B0B" w:rsidP="00C45223">
      <w:pPr>
        <w:adjustRightInd w:val="0"/>
        <w:snapToGrid w:val="0"/>
        <w:spacing w:line="520" w:lineRule="exact"/>
        <w:ind w:firstLine="562"/>
        <w:rPr>
          <w:rFonts w:ascii="仿宋_GB2312" w:eastAsia="仿宋_GB2312"/>
          <w:sz w:val="30"/>
          <w:szCs w:val="30"/>
        </w:rPr>
      </w:pPr>
      <w:r w:rsidRPr="00675F83">
        <w:rPr>
          <w:rFonts w:ascii="宋体" w:hint="eastAsia"/>
          <w:b/>
          <w:bCs/>
          <w:sz w:val="30"/>
          <w:szCs w:val="30"/>
        </w:rPr>
        <w:t>2.</w:t>
      </w:r>
      <w:r w:rsidR="00816F8C" w:rsidRPr="00675F83">
        <w:rPr>
          <w:rFonts w:ascii="宋体" w:hint="eastAsia"/>
          <w:b/>
          <w:bCs/>
          <w:sz w:val="30"/>
          <w:szCs w:val="30"/>
        </w:rPr>
        <w:t xml:space="preserve"> </w:t>
      </w:r>
      <w:r w:rsidRPr="00675F83">
        <w:rPr>
          <w:rFonts w:ascii="宋体" w:hint="eastAsia"/>
          <w:b/>
          <w:bCs/>
          <w:sz w:val="30"/>
          <w:szCs w:val="30"/>
        </w:rPr>
        <w:t>类案分析</w:t>
      </w:r>
    </w:p>
    <w:p w:rsidR="000E0716" w:rsidRPr="00675F83" w:rsidRDefault="00AB4B0B" w:rsidP="00C45223">
      <w:pPr>
        <w:adjustRightInd w:val="0"/>
        <w:snapToGrid w:val="0"/>
        <w:spacing w:line="520" w:lineRule="exact"/>
        <w:ind w:firstLine="600"/>
        <w:rPr>
          <w:rFonts w:ascii="宋体" w:hAnsi="宋体"/>
          <w:sz w:val="28"/>
          <w:szCs w:val="28"/>
        </w:rPr>
      </w:pPr>
      <w:r w:rsidRPr="00675F83">
        <w:rPr>
          <w:rFonts w:ascii="宋体" w:hAnsi="宋体" w:hint="eastAsia"/>
          <w:sz w:val="28"/>
          <w:szCs w:val="28"/>
        </w:rPr>
        <w:t>近年来，随着经济发展和人们生活水平的提高，外出旅游人数大幅增长，旅游成为人们充实休闲时间的最佳选择之一。与此同时，涉及旅游的纠纷也逐渐增多，2020年涉老旅游合同纠纷在我院审结的旅游合同纠纷中占45.1%。在旅游过程中遭受人身、财产损害的案件也占相当大比例，涉老旅游类纠纷在涉老审判中占有越来越重要的地</w:t>
      </w:r>
      <w:r w:rsidRPr="00675F83">
        <w:rPr>
          <w:rFonts w:ascii="宋体" w:hAnsi="宋体" w:hint="eastAsia"/>
          <w:sz w:val="28"/>
          <w:szCs w:val="28"/>
        </w:rPr>
        <w:lastRenderedPageBreak/>
        <w:t>位。</w:t>
      </w:r>
      <w:r w:rsidR="000E0716" w:rsidRPr="00675F83">
        <w:rPr>
          <w:rFonts w:ascii="宋体" w:hAnsi="宋体" w:hint="eastAsia"/>
          <w:sz w:val="28"/>
          <w:szCs w:val="28"/>
        </w:rPr>
        <w:t>经分析，该类案件呈现以下特点：</w:t>
      </w:r>
    </w:p>
    <w:p w:rsidR="00AB4B0B" w:rsidRPr="00675F83" w:rsidRDefault="000661A6" w:rsidP="00C45223">
      <w:pPr>
        <w:adjustRightInd w:val="0"/>
        <w:snapToGrid w:val="0"/>
        <w:spacing w:line="520" w:lineRule="exact"/>
        <w:ind w:firstLine="600"/>
        <w:jc w:val="left"/>
        <w:rPr>
          <w:rFonts w:asciiTheme="minorEastAsia" w:eastAsiaTheme="minorEastAsia" w:hAnsiTheme="minorEastAsia"/>
          <w:b/>
          <w:sz w:val="28"/>
          <w:szCs w:val="28"/>
        </w:rPr>
      </w:pPr>
      <w:r w:rsidRPr="00675F83">
        <w:rPr>
          <w:rFonts w:asciiTheme="minorEastAsia" w:eastAsiaTheme="minorEastAsia" w:hAnsiTheme="minorEastAsia" w:hint="eastAsia"/>
          <w:sz w:val="28"/>
          <w:szCs w:val="28"/>
        </w:rPr>
        <w:t>（1）</w:t>
      </w:r>
      <w:r w:rsidR="00F55D5B" w:rsidRPr="00675F83">
        <w:rPr>
          <w:rFonts w:asciiTheme="minorEastAsia" w:eastAsiaTheme="minorEastAsia" w:hAnsiTheme="minorEastAsia" w:hint="eastAsia"/>
          <w:sz w:val="28"/>
          <w:szCs w:val="28"/>
        </w:rPr>
        <w:t>案件事实还原难</w:t>
      </w:r>
      <w:r w:rsidR="00C508BF" w:rsidRPr="00675F83">
        <w:rPr>
          <w:rFonts w:asciiTheme="minorEastAsia" w:eastAsiaTheme="minorEastAsia" w:hAnsiTheme="minorEastAsia" w:hint="eastAsia"/>
          <w:sz w:val="28"/>
          <w:szCs w:val="28"/>
        </w:rPr>
        <w:t>。</w:t>
      </w:r>
      <w:r w:rsidR="00AB4B0B" w:rsidRPr="00675F83">
        <w:rPr>
          <w:rFonts w:asciiTheme="minorEastAsia" w:eastAsiaTheme="minorEastAsia" w:hAnsiTheme="minorEastAsia" w:hint="eastAsia"/>
          <w:sz w:val="28"/>
          <w:szCs w:val="28"/>
        </w:rPr>
        <w:t>由于旅游合同履行地多在外省市或境外，最终导致起诉时往往距离事发时间相隔较久，致许多案件事实难以查清，又由于语言障碍、文化差异、医疗条件差异等因素的影响，原告承担的举证责任较大，还原案件事实比较困难。同时，一些旅游经营者考虑到诉讼成本，如路途、时间等因素，不愿意来法院应诉，也给还原案件事实增加难度。根据案件需要，部分案件承办法官</w:t>
      </w:r>
      <w:r w:rsidR="00A829AA" w:rsidRPr="00675F83">
        <w:rPr>
          <w:rFonts w:asciiTheme="minorEastAsia" w:eastAsiaTheme="minorEastAsia" w:hAnsiTheme="minorEastAsia" w:hint="eastAsia"/>
          <w:sz w:val="28"/>
          <w:szCs w:val="28"/>
        </w:rPr>
        <w:t>确</w:t>
      </w:r>
      <w:r w:rsidR="00AB4B0B" w:rsidRPr="00675F83">
        <w:rPr>
          <w:rFonts w:asciiTheme="minorEastAsia" w:eastAsiaTheme="minorEastAsia" w:hAnsiTheme="minorEastAsia" w:hint="eastAsia"/>
          <w:sz w:val="28"/>
          <w:szCs w:val="28"/>
        </w:rPr>
        <w:t>需前往实地调查情况，给案件审理增加难度，也使案件审理周期延长。</w:t>
      </w:r>
    </w:p>
    <w:p w:rsidR="00AB4B0B" w:rsidRPr="00675F83" w:rsidRDefault="00AB4B0B" w:rsidP="00C45223">
      <w:pPr>
        <w:adjustRightInd w:val="0"/>
        <w:snapToGrid w:val="0"/>
        <w:spacing w:line="520" w:lineRule="exact"/>
        <w:ind w:firstLine="562"/>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（2）</w:t>
      </w:r>
      <w:r w:rsidR="00F55D5B" w:rsidRPr="00675F83">
        <w:rPr>
          <w:rFonts w:asciiTheme="minorEastAsia" w:eastAsiaTheme="minorEastAsia" w:hAnsiTheme="minorEastAsia" w:hint="eastAsia"/>
          <w:sz w:val="28"/>
          <w:szCs w:val="28"/>
        </w:rPr>
        <w:t>责任类型</w:t>
      </w:r>
      <w:r w:rsidRPr="00675F83">
        <w:rPr>
          <w:rFonts w:asciiTheme="minorEastAsia" w:eastAsiaTheme="minorEastAsia" w:hAnsiTheme="minorEastAsia" w:hint="eastAsia"/>
          <w:sz w:val="28"/>
          <w:szCs w:val="28"/>
        </w:rPr>
        <w:t>选择</w:t>
      </w:r>
      <w:r w:rsidR="002E549E" w:rsidRPr="00675F83">
        <w:rPr>
          <w:rFonts w:asciiTheme="minorEastAsia" w:eastAsiaTheme="minorEastAsia" w:hAnsiTheme="minorEastAsia" w:hint="eastAsia"/>
          <w:sz w:val="28"/>
          <w:szCs w:val="28"/>
        </w:rPr>
        <w:t>多</w:t>
      </w:r>
      <w:r w:rsidR="00401911"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在涉老旅游类案件中，旅游经营者作为旅游合同相对人，因其提供旅游服务过程中的行为导致旅游者人身、财产损害时，旅游者可向其主张违约责任；同时，如旅游经营者的行为符合侵权行为的构成要件，则也构成侵权。不同的选择将产生不同的法律后果。同样的困局也出现在涉旅游辅助服务者案件中。实践中，旅游经营者往往将交通、住宿、饮食、游览等服务项目交由旅游辅助服务者提供，若在旅游辅助服务环节出现纠纷，旅游者既可向旅游经营者主张违约责任，也可向旅游辅助服务者主张侵权责任，同时向旅游经营者主张未尽谨慎选择义务的补充赔偿责任。因很多老年人在该领域知识水平的欠缺，其权益很有可能无法得到最大</w:t>
      </w:r>
      <w:r w:rsidR="00D57EF2" w:rsidRPr="00675F83">
        <w:rPr>
          <w:rFonts w:asciiTheme="minorEastAsia" w:eastAsiaTheme="minorEastAsia" w:hAnsiTheme="minorEastAsia" w:hint="eastAsia"/>
          <w:sz w:val="28"/>
          <w:szCs w:val="28"/>
        </w:rPr>
        <w:t>限度</w:t>
      </w:r>
      <w:r w:rsidRPr="00675F83">
        <w:rPr>
          <w:rFonts w:asciiTheme="minorEastAsia" w:eastAsiaTheme="minorEastAsia" w:hAnsiTheme="minorEastAsia" w:hint="eastAsia"/>
          <w:sz w:val="28"/>
          <w:szCs w:val="28"/>
        </w:rPr>
        <w:t>的保护，给法院的审理、执行和判后答疑工作带来难度。</w:t>
      </w:r>
    </w:p>
    <w:p w:rsidR="00AB4B0B" w:rsidRPr="00675F83" w:rsidRDefault="00AB4B0B" w:rsidP="00C45223">
      <w:pPr>
        <w:adjustRightInd w:val="0"/>
        <w:snapToGrid w:val="0"/>
        <w:spacing w:line="520" w:lineRule="exact"/>
        <w:ind w:firstLineChars="196" w:firstLine="549"/>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（3）责任认定难</w:t>
      </w:r>
      <w:r w:rsidR="0027469F" w:rsidRPr="00675F83">
        <w:rPr>
          <w:rFonts w:asciiTheme="minorEastAsia" w:eastAsiaTheme="minorEastAsia" w:hAnsiTheme="minorEastAsia" w:hint="eastAsia"/>
          <w:sz w:val="28"/>
          <w:szCs w:val="28"/>
        </w:rPr>
        <w:t>度大</w:t>
      </w:r>
      <w:r w:rsidR="0094375B"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一方面是措辞模糊导致责任认定难</w:t>
      </w:r>
      <w:r w:rsidR="00F55D5B"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涉旅游合同类案件中，有部分旅游经营者</w:t>
      </w:r>
      <w:r w:rsidRPr="00117446">
        <w:rPr>
          <w:rFonts w:asciiTheme="minorEastAsia" w:eastAsiaTheme="minorEastAsia" w:hAnsiTheme="minorEastAsia" w:hint="eastAsia"/>
          <w:sz w:val="28"/>
          <w:szCs w:val="28"/>
        </w:rPr>
        <w:t>用模糊性</w:t>
      </w:r>
      <w:r w:rsidRPr="00675F83">
        <w:rPr>
          <w:rFonts w:asciiTheme="minorEastAsia" w:eastAsiaTheme="minorEastAsia" w:hAnsiTheme="minorEastAsia" w:hint="eastAsia"/>
          <w:sz w:val="28"/>
          <w:szCs w:val="28"/>
        </w:rPr>
        <w:t>语言描述旅游产品的内容和服务标准；又或者对格式合同中关于保护旅游者权利的一些条款进行弱化，用易产生歧义的用语扩大自身权利、减少自身义务。另一方面是标准不一导致责任认定难</w:t>
      </w:r>
      <w:r w:rsidR="00F55D5B"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涉旅游损害赔偿类案件中，往往需要对是否违反安全保障义务进行认定，但因旅游活动和旅游者的多样性，导致对安全保障义务的认定因个案的不同而存在差异。</w:t>
      </w:r>
    </w:p>
    <w:p w:rsidR="00AB4B0B" w:rsidRPr="00675F83" w:rsidRDefault="00AB4B0B" w:rsidP="00C45223">
      <w:pPr>
        <w:adjustRightInd w:val="0"/>
        <w:snapToGrid w:val="0"/>
        <w:spacing w:line="520" w:lineRule="exact"/>
        <w:ind w:firstLine="562"/>
        <w:rPr>
          <w:rFonts w:asciiTheme="minorEastAsia" w:eastAsiaTheme="minorEastAsia" w:hAnsiTheme="minorEastAsia"/>
          <w:b/>
          <w:bCs/>
          <w:sz w:val="30"/>
          <w:szCs w:val="30"/>
        </w:rPr>
      </w:pPr>
      <w:r w:rsidRPr="00675F83">
        <w:rPr>
          <w:rFonts w:asciiTheme="minorEastAsia" w:eastAsiaTheme="minorEastAsia" w:hAnsiTheme="minorEastAsia" w:hint="eastAsia"/>
          <w:b/>
          <w:bCs/>
          <w:sz w:val="30"/>
          <w:szCs w:val="30"/>
        </w:rPr>
        <w:lastRenderedPageBreak/>
        <w:t>3.</w:t>
      </w:r>
      <w:r w:rsidR="00816F8C" w:rsidRPr="00675F83">
        <w:rPr>
          <w:rFonts w:asciiTheme="minorEastAsia" w:eastAsiaTheme="minorEastAsia" w:hAnsiTheme="minorEastAsia" w:hint="eastAsia"/>
          <w:b/>
          <w:bCs/>
          <w:sz w:val="30"/>
          <w:szCs w:val="30"/>
        </w:rPr>
        <w:t xml:space="preserve"> </w:t>
      </w:r>
      <w:r w:rsidRPr="00675F83">
        <w:rPr>
          <w:rFonts w:asciiTheme="minorEastAsia" w:eastAsiaTheme="minorEastAsia" w:hAnsiTheme="minorEastAsia" w:hint="eastAsia"/>
          <w:b/>
          <w:bCs/>
          <w:sz w:val="30"/>
          <w:szCs w:val="30"/>
        </w:rPr>
        <w:t>法官提示</w:t>
      </w:r>
    </w:p>
    <w:p w:rsidR="00AB4B0B" w:rsidRPr="00675F83" w:rsidRDefault="00AB4B0B" w:rsidP="00C45223">
      <w:pPr>
        <w:adjustRightInd w:val="0"/>
        <w:snapToGrid w:val="0"/>
        <w:spacing w:line="520" w:lineRule="exact"/>
        <w:ind w:firstLine="562"/>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（1）合理选择诉讼基础</w:t>
      </w:r>
      <w:r w:rsidR="00BE19FF"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在损害赔偿类涉旅游案件中，老年旅游者可以选择提起违约之诉，也可以选择侵权之诉，这直接关系到涉案被告的确定、诉讼请求的筛选以及诉讼</w:t>
      </w:r>
      <w:r w:rsidR="00A829AA" w:rsidRPr="00675F83">
        <w:rPr>
          <w:rFonts w:asciiTheme="minorEastAsia" w:eastAsiaTheme="minorEastAsia" w:hAnsiTheme="minorEastAsia" w:hint="eastAsia"/>
          <w:sz w:val="28"/>
          <w:szCs w:val="28"/>
        </w:rPr>
        <w:t>风险的大小</w:t>
      </w:r>
      <w:r w:rsidRPr="00675F83">
        <w:rPr>
          <w:rFonts w:asciiTheme="minorEastAsia" w:eastAsiaTheme="minorEastAsia" w:hAnsiTheme="minorEastAsia" w:hint="eastAsia"/>
          <w:sz w:val="28"/>
          <w:szCs w:val="28"/>
        </w:rPr>
        <w:t>。选择违约之诉，</w:t>
      </w:r>
      <w:r w:rsidR="00867B00" w:rsidRPr="00117446">
        <w:rPr>
          <w:rFonts w:asciiTheme="minorEastAsia" w:eastAsiaTheme="minorEastAsia" w:hAnsiTheme="minorEastAsia" w:hint="eastAsia"/>
          <w:sz w:val="28"/>
          <w:szCs w:val="28"/>
        </w:rPr>
        <w:t>只要</w:t>
      </w:r>
      <w:r w:rsidRPr="00117446">
        <w:rPr>
          <w:rFonts w:asciiTheme="minorEastAsia" w:eastAsiaTheme="minorEastAsia" w:hAnsiTheme="minorEastAsia" w:hint="eastAsia"/>
          <w:sz w:val="28"/>
          <w:szCs w:val="28"/>
        </w:rPr>
        <w:t>旅游</w:t>
      </w:r>
      <w:r w:rsidRPr="00675F83">
        <w:rPr>
          <w:rFonts w:asciiTheme="minorEastAsia" w:eastAsiaTheme="minorEastAsia" w:hAnsiTheme="minorEastAsia" w:hint="eastAsia"/>
          <w:sz w:val="28"/>
          <w:szCs w:val="28"/>
        </w:rPr>
        <w:t>者证明旅游经营者的违约事实存在，即完成举证责任，而侵权之诉中，需要证明旅游经营者存在过错。此外，就赔偿范围而言，一般情况下违约责任的赔偿范围不包括精神损害赔偿，但旅游者可主张违约金；而侵权责任的赔偿范围没有违约金的概念，旅游者可主张精神损害赔偿。值得注意的是，现《民法典》</w:t>
      </w:r>
      <w:r w:rsidRPr="00675F83">
        <w:rPr>
          <w:rFonts w:asciiTheme="minorEastAsia" w:eastAsiaTheme="minorEastAsia" w:hAnsiTheme="minorEastAsia"/>
          <w:sz w:val="28"/>
          <w:szCs w:val="28"/>
        </w:rPr>
        <w:t>第九百九十六条</w:t>
      </w:r>
      <w:r w:rsidRPr="00675F83">
        <w:rPr>
          <w:rFonts w:asciiTheme="minorEastAsia" w:eastAsiaTheme="minorEastAsia" w:hAnsiTheme="minorEastAsia" w:hint="eastAsia"/>
          <w:sz w:val="28"/>
          <w:szCs w:val="28"/>
        </w:rPr>
        <w:t>对在违约责任中适用精神损害赔偿作了留白，然而该规定也仅限于因</w:t>
      </w:r>
      <w:r w:rsidRPr="00675F83">
        <w:rPr>
          <w:rFonts w:asciiTheme="minorEastAsia" w:eastAsiaTheme="minorEastAsia" w:hAnsiTheme="minorEastAsia"/>
          <w:sz w:val="28"/>
          <w:szCs w:val="28"/>
        </w:rPr>
        <w:t>违约行为</w:t>
      </w:r>
      <w:r w:rsidRPr="00675F83">
        <w:rPr>
          <w:rFonts w:asciiTheme="minorEastAsia" w:eastAsiaTheme="minorEastAsia" w:hAnsiTheme="minorEastAsia" w:hint="eastAsia"/>
          <w:sz w:val="28"/>
          <w:szCs w:val="28"/>
        </w:rPr>
        <w:t>导致</w:t>
      </w:r>
      <w:r w:rsidRPr="00675F83">
        <w:rPr>
          <w:rFonts w:asciiTheme="minorEastAsia" w:eastAsiaTheme="minorEastAsia" w:hAnsiTheme="minorEastAsia"/>
          <w:sz w:val="28"/>
          <w:szCs w:val="28"/>
        </w:rPr>
        <w:t>人格权</w:t>
      </w:r>
      <w:r w:rsidRPr="00675F83">
        <w:rPr>
          <w:rFonts w:asciiTheme="minorEastAsia" w:eastAsiaTheme="minorEastAsia" w:hAnsiTheme="minorEastAsia" w:hint="eastAsia"/>
          <w:sz w:val="28"/>
          <w:szCs w:val="28"/>
        </w:rPr>
        <w:t>受损</w:t>
      </w:r>
      <w:r w:rsidRPr="00675F83">
        <w:rPr>
          <w:rFonts w:asciiTheme="minorEastAsia" w:eastAsiaTheme="minorEastAsia" w:hAnsiTheme="minorEastAsia"/>
          <w:sz w:val="28"/>
          <w:szCs w:val="28"/>
        </w:rPr>
        <w:t>并造成严重精神损害</w:t>
      </w:r>
      <w:r w:rsidRPr="00675F83">
        <w:rPr>
          <w:rFonts w:asciiTheme="minorEastAsia" w:eastAsiaTheme="minorEastAsia" w:hAnsiTheme="minorEastAsia" w:hint="eastAsia"/>
          <w:sz w:val="28"/>
          <w:szCs w:val="28"/>
        </w:rPr>
        <w:t>的情形，故实践中在违约之诉中主张精神损害赔偿的情形仍受到一定限制。</w:t>
      </w:r>
    </w:p>
    <w:p w:rsidR="00AB4B0B" w:rsidRPr="00675F83" w:rsidRDefault="00AB4B0B" w:rsidP="00C45223">
      <w:pPr>
        <w:adjustRightInd w:val="0"/>
        <w:snapToGrid w:val="0"/>
        <w:spacing w:line="520" w:lineRule="exact"/>
        <w:ind w:firstLine="562"/>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（2）及时固定涉案证据</w:t>
      </w:r>
      <w:r w:rsidR="00845D19"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鉴于旅游产品的特殊性，当发生纠纷时，对证据的固定就显得尤为重要。老年旅游者应注意保留与旅行社签订的合同、旅游行程表以及其他材料，便于证明旅行社提供的服务是否符合合同的约定。若旅游过程中发生人身、财产损害事故的，应注意证据的固定和留存，便于最大程度还原案件事实，如地面湿滑是否有提示、旅游设备的安全防护措施是否适合于老年人（如游乐设备的速度限制</w:t>
      </w:r>
      <w:r w:rsidR="00D57EF2" w:rsidRPr="00675F83">
        <w:rPr>
          <w:rFonts w:asciiTheme="minorEastAsia" w:eastAsiaTheme="minorEastAsia" w:hAnsiTheme="minorEastAsia" w:hint="eastAsia"/>
          <w:sz w:val="28"/>
          <w:szCs w:val="28"/>
        </w:rPr>
        <w:t>、身体状况限制</w:t>
      </w:r>
      <w:r w:rsidRPr="00675F83">
        <w:rPr>
          <w:rFonts w:asciiTheme="minorEastAsia" w:eastAsiaTheme="minorEastAsia" w:hAnsiTheme="minorEastAsia" w:hint="eastAsia"/>
          <w:sz w:val="28"/>
          <w:szCs w:val="28"/>
        </w:rPr>
        <w:t>）等。</w:t>
      </w:r>
    </w:p>
    <w:p w:rsidR="00AB4B0B" w:rsidRPr="00675F83" w:rsidRDefault="00AB4B0B" w:rsidP="00C45223">
      <w:pPr>
        <w:adjustRightInd w:val="0"/>
        <w:snapToGrid w:val="0"/>
        <w:spacing w:line="520" w:lineRule="exact"/>
        <w:ind w:firstLineChars="196" w:firstLine="549"/>
        <w:rPr>
          <w:rFonts w:asciiTheme="minorEastAsia" w:eastAsiaTheme="minorEastAsia" w:hAnsiTheme="minorEastAsia"/>
          <w:b/>
          <w:sz w:val="28"/>
          <w:szCs w:val="28"/>
        </w:rPr>
      </w:pPr>
      <w:r w:rsidRPr="00675F83">
        <w:rPr>
          <w:rFonts w:asciiTheme="minorEastAsia" w:eastAsiaTheme="minorEastAsia" w:hAnsiTheme="minorEastAsia" w:hint="eastAsia"/>
          <w:sz w:val="28"/>
          <w:szCs w:val="28"/>
        </w:rPr>
        <w:t>（3）审慎选择旅游产品</w:t>
      </w:r>
      <w:r w:rsidR="006B565A"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老年人在制定旅游计划时，应谨慎选择旅游经营者，如通过网站、APP在线上签订电子旅游合同、支付旅游费用的情况，应更加谨慎审查旅游经营者的资质、信誉，了解旅游路线的市场价格，切勿因贪图小利而上当受骗。老年人在订立旅游合同时，若看到合同中有格式上较醒目的条款，应特别予以关注，此类条款往往存在免除或者限制旅游经营者责任的内容，应慎重考虑是否接受。此外，认真阅读合同条款及旅游合同关于游览、娱乐项目的约</w:t>
      </w:r>
      <w:r w:rsidRPr="00675F83">
        <w:rPr>
          <w:rFonts w:asciiTheme="minorEastAsia" w:eastAsiaTheme="minorEastAsia" w:hAnsiTheme="minorEastAsia" w:hint="eastAsia"/>
          <w:sz w:val="28"/>
          <w:szCs w:val="28"/>
        </w:rPr>
        <w:lastRenderedPageBreak/>
        <w:t>定，考虑自身身体状况，选择适宜参加的旅游项目，注意量力而行，也可选择跟朋友、家人一起出行，减少潜在风险。</w:t>
      </w:r>
    </w:p>
    <w:p w:rsidR="00AB4B0B" w:rsidRPr="00675F83" w:rsidRDefault="00AB4B0B" w:rsidP="00C45223">
      <w:pPr>
        <w:adjustRightInd w:val="0"/>
        <w:snapToGrid w:val="0"/>
        <w:spacing w:line="520" w:lineRule="exact"/>
        <w:ind w:firstLine="562"/>
        <w:rPr>
          <w:rFonts w:ascii="楷体" w:eastAsia="楷体" w:hAnsi="楷体"/>
          <w:b/>
          <w:bCs/>
          <w:sz w:val="30"/>
          <w:szCs w:val="30"/>
        </w:rPr>
      </w:pPr>
      <w:r w:rsidRPr="00675F83">
        <w:rPr>
          <w:rFonts w:ascii="楷体" w:eastAsia="楷体" w:hAnsi="楷体" w:hint="eastAsia"/>
          <w:b/>
          <w:bCs/>
          <w:sz w:val="30"/>
          <w:szCs w:val="30"/>
        </w:rPr>
        <w:t>（五）夫妻共同债务纠纷</w:t>
      </w:r>
    </w:p>
    <w:p w:rsidR="00AB4B0B"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宋体" w:hint="eastAsia"/>
          <w:b/>
          <w:bCs/>
          <w:sz w:val="30"/>
          <w:szCs w:val="30"/>
        </w:rPr>
        <w:t>1.</w:t>
      </w:r>
      <w:r w:rsidR="00816F8C" w:rsidRPr="00675F83">
        <w:rPr>
          <w:rFonts w:ascii="宋体" w:hint="eastAsia"/>
          <w:b/>
          <w:bCs/>
          <w:sz w:val="30"/>
          <w:szCs w:val="30"/>
        </w:rPr>
        <w:t xml:space="preserve"> </w:t>
      </w:r>
      <w:r w:rsidRPr="00675F83">
        <w:rPr>
          <w:rFonts w:ascii="宋体" w:hint="eastAsia"/>
          <w:b/>
          <w:bCs/>
          <w:sz w:val="30"/>
          <w:szCs w:val="30"/>
        </w:rPr>
        <w:t>典型案例</w:t>
      </w:r>
    </w:p>
    <w:p w:rsidR="00AB4B0B" w:rsidRPr="00675F83" w:rsidRDefault="00AB4B0B" w:rsidP="00C45223">
      <w:pPr>
        <w:adjustRightInd w:val="0"/>
        <w:snapToGrid w:val="0"/>
        <w:spacing w:line="520" w:lineRule="exact"/>
        <w:ind w:firstLine="600"/>
        <w:rPr>
          <w:rFonts w:ascii="宋体" w:hAnsi="宋体"/>
          <w:sz w:val="28"/>
          <w:szCs w:val="28"/>
        </w:rPr>
      </w:pPr>
      <w:r w:rsidRPr="00675F83">
        <w:rPr>
          <w:rFonts w:ascii="宋体" w:hAnsi="宋体" w:hint="eastAsia"/>
          <w:sz w:val="28"/>
          <w:szCs w:val="28"/>
        </w:rPr>
        <w:t>王某与张某原系夫妻关系，2003年登记结婚，2014年双方分居。2015年12月，王某以急需资金周转为由向黄某借款50万元，并向黄某出具借条一张，约定了借款期限以及利息，王某一人在借条上签字确认。借条出具当日，黄某将50万元通过银行转账形式交付王某。后因王某未依约归还借款，黄某将王某及张某共同诉至本院，以借款发生在两人夫妻关系存续期间为由，主张50万元借款系夫妻共同债务，要求两人共同承担还款义务。王某对黄某的诉请表示认可，张某辩称其并未在借条上签字确认，也不知晓50万元借款的存在，且50万元借款并未用于夫妻共同生活，故不同意原告的诉请。最终，法院以借款发生在王某与张某分居期间，张某未在借条上签字，且没有证据证明借款用于王某与张某的夫妻共同生活为由，判令由王某独自承担还款义务。</w:t>
      </w:r>
    </w:p>
    <w:p w:rsidR="00AB4B0B"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宋体" w:hint="eastAsia"/>
          <w:b/>
          <w:bCs/>
          <w:sz w:val="30"/>
          <w:szCs w:val="30"/>
        </w:rPr>
        <w:t>2.</w:t>
      </w:r>
      <w:r w:rsidR="00816F8C" w:rsidRPr="00675F83">
        <w:rPr>
          <w:rFonts w:ascii="宋体" w:hint="eastAsia"/>
          <w:b/>
          <w:bCs/>
          <w:sz w:val="30"/>
          <w:szCs w:val="30"/>
        </w:rPr>
        <w:t xml:space="preserve"> </w:t>
      </w:r>
      <w:r w:rsidRPr="00675F83">
        <w:rPr>
          <w:rFonts w:ascii="宋体" w:hint="eastAsia"/>
          <w:b/>
          <w:bCs/>
          <w:sz w:val="30"/>
          <w:szCs w:val="30"/>
        </w:rPr>
        <w:t>类案分析</w:t>
      </w:r>
    </w:p>
    <w:p w:rsidR="00AB4B0B" w:rsidRPr="00675F83" w:rsidRDefault="00AB4B0B" w:rsidP="00C45223">
      <w:pPr>
        <w:adjustRightInd w:val="0"/>
        <w:snapToGrid w:val="0"/>
        <w:spacing w:line="520" w:lineRule="exact"/>
        <w:ind w:firstLine="600"/>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近年来，夫妻共同债务纠纷逐渐增多，司法实践中此类案件的事实查明以及案件定性难度较大，使得夫妻共同债务案件的认定成为较复杂的法律问题。同时，因此类案件中虚假诉讼多发，“去伪存真”亦成为该类案件的重点审理内容。</w:t>
      </w:r>
      <w:r w:rsidR="0027469F" w:rsidRPr="00675F83">
        <w:rPr>
          <w:rFonts w:asciiTheme="minorEastAsia" w:eastAsiaTheme="minorEastAsia" w:hAnsiTheme="minorEastAsia" w:hint="eastAsia"/>
          <w:sz w:val="28"/>
          <w:szCs w:val="28"/>
        </w:rPr>
        <w:t>经分析，该类案件呈现以下特点：</w:t>
      </w:r>
    </w:p>
    <w:p w:rsidR="00AB4B0B" w:rsidRPr="00675F83" w:rsidRDefault="00AB4B0B" w:rsidP="00C45223">
      <w:pPr>
        <w:adjustRightInd w:val="0"/>
        <w:snapToGrid w:val="0"/>
        <w:spacing w:line="520" w:lineRule="exact"/>
        <w:ind w:firstLine="562"/>
        <w:jc w:val="lef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（1）</w:t>
      </w:r>
      <w:r w:rsidR="00422C74" w:rsidRPr="00675F83">
        <w:rPr>
          <w:rFonts w:asciiTheme="minorEastAsia" w:eastAsiaTheme="minorEastAsia" w:hAnsiTheme="minorEastAsia" w:hint="eastAsia"/>
          <w:sz w:val="28"/>
          <w:szCs w:val="28"/>
        </w:rPr>
        <w:t>共同债务</w:t>
      </w:r>
      <w:r w:rsidR="002F6F49" w:rsidRPr="00675F83">
        <w:rPr>
          <w:rFonts w:asciiTheme="minorEastAsia" w:eastAsiaTheme="minorEastAsia" w:hAnsiTheme="minorEastAsia" w:hint="eastAsia"/>
          <w:sz w:val="28"/>
          <w:szCs w:val="28"/>
        </w:rPr>
        <w:t>举证难</w:t>
      </w:r>
      <w:r w:rsidR="00422C74"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在夫妻共同债务案件中，常发生借条为夫妻一方单独出具，另一方以未在借条上签字或不知</w:t>
      </w:r>
      <w:r w:rsidR="00EA24D1" w:rsidRPr="00675F83">
        <w:rPr>
          <w:rFonts w:asciiTheme="minorEastAsia" w:eastAsiaTheme="minorEastAsia" w:hAnsiTheme="minorEastAsia" w:hint="eastAsia"/>
          <w:sz w:val="28"/>
          <w:szCs w:val="28"/>
        </w:rPr>
        <w:t>晓借贷的存在、缺乏借贷合意为由拒绝承担共同还款义务，且根据现有司法解释与</w:t>
      </w:r>
      <w:r w:rsidRPr="00675F83">
        <w:rPr>
          <w:rFonts w:asciiTheme="minorEastAsia" w:eastAsiaTheme="minorEastAsia" w:hAnsiTheme="minorEastAsia" w:hint="eastAsia"/>
          <w:sz w:val="28"/>
          <w:szCs w:val="28"/>
        </w:rPr>
        <w:t>证据规则</w:t>
      </w:r>
      <w:r w:rsidR="00EA24D1" w:rsidRPr="00675F83">
        <w:rPr>
          <w:rFonts w:asciiTheme="minorEastAsia" w:eastAsiaTheme="minorEastAsia" w:hAnsiTheme="minorEastAsia" w:hint="eastAsia"/>
          <w:sz w:val="28"/>
          <w:szCs w:val="28"/>
        </w:rPr>
        <w:t>等</w:t>
      </w:r>
      <w:r w:rsidRPr="00675F83">
        <w:rPr>
          <w:rFonts w:asciiTheme="minorEastAsia" w:eastAsiaTheme="minorEastAsia" w:hAnsiTheme="minorEastAsia" w:hint="eastAsia"/>
          <w:sz w:val="28"/>
          <w:szCs w:val="28"/>
        </w:rPr>
        <w:t>，其只需要对债务的共同性予以否认即可，无需积极证明借款用途，故导致借款用途的举证义务均落在债权人身上。又因为夫妻</w:t>
      </w:r>
      <w:r w:rsidRPr="00675F83">
        <w:rPr>
          <w:rFonts w:asciiTheme="minorEastAsia" w:eastAsiaTheme="minorEastAsia" w:hAnsiTheme="minorEastAsia" w:hint="eastAsia"/>
          <w:sz w:val="28"/>
          <w:szCs w:val="28"/>
        </w:rPr>
        <w:lastRenderedPageBreak/>
        <w:t>共同生活的相对私密性、日常生活经济往来的复杂性，债权人的举证能力受到限制，故法院需要综合审查借款金额、夫妻关系、开销情况、经营情况等多方面因素认定案件事实。</w:t>
      </w:r>
    </w:p>
    <w:p w:rsidR="002F6F49" w:rsidRPr="00675F83" w:rsidRDefault="00AB4B0B" w:rsidP="00C45223">
      <w:pPr>
        <w:adjustRightInd w:val="0"/>
        <w:snapToGrid w:val="0"/>
        <w:spacing w:line="520" w:lineRule="exact"/>
        <w:ind w:firstLine="562"/>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（2）</w:t>
      </w:r>
      <w:r w:rsidR="002F6F49" w:rsidRPr="00675F83">
        <w:rPr>
          <w:rFonts w:asciiTheme="minorEastAsia" w:eastAsiaTheme="minorEastAsia" w:hAnsiTheme="minorEastAsia" w:hint="eastAsia"/>
          <w:sz w:val="28"/>
          <w:szCs w:val="28"/>
        </w:rPr>
        <w:t>款项性质厘清难</w:t>
      </w:r>
      <w:r w:rsidR="00A45073" w:rsidRPr="00675F83">
        <w:rPr>
          <w:rFonts w:asciiTheme="minorEastAsia" w:eastAsiaTheme="minorEastAsia" w:hAnsiTheme="minorEastAsia" w:hint="eastAsia"/>
          <w:sz w:val="28"/>
          <w:szCs w:val="28"/>
        </w:rPr>
        <w:t>。</w:t>
      </w:r>
      <w:r w:rsidR="002F6F49" w:rsidRPr="00675F83">
        <w:rPr>
          <w:rFonts w:ascii="宋体" w:hAnsi="宋体" w:hint="eastAsia"/>
          <w:sz w:val="28"/>
          <w:szCs w:val="28"/>
        </w:rPr>
        <w:t>在夫妻一方近亲属尤其是父母作为债权人以民间借贷主张夫妻共同债务的案件中，夫妻另一方往往否认双方之间的借贷关系，而辩称钱款性质系赠与。在这类案件中，鉴于原、被告之间的身份系家庭成员，法院为厘定钱款性质，需要综合审查借条的形成、夫妻关系状况、钱款实际走向和用途等因素，并综合考量相关法律规定与精神，进行裁判。比如在父母出资为子女购买不动产，事后父母不能就出资为借贷提供充分证据证明导致出资性质处于真伪不明状态时，该款项性质厘清存在难度。</w:t>
      </w:r>
    </w:p>
    <w:p w:rsidR="008E76A2" w:rsidRPr="00675F83" w:rsidRDefault="008E76A2" w:rsidP="00C45223">
      <w:pPr>
        <w:adjustRightInd w:val="0"/>
        <w:snapToGrid w:val="0"/>
        <w:spacing w:line="520" w:lineRule="exact"/>
        <w:ind w:firstLine="562"/>
        <w:rPr>
          <w:rFonts w:ascii="仿宋" w:eastAsia="仿宋" w:hAnsi="仿宋"/>
          <w:b/>
          <w:sz w:val="28"/>
          <w:szCs w:val="28"/>
        </w:rPr>
      </w:pPr>
      <w:r w:rsidRPr="00675F83">
        <w:rPr>
          <w:rFonts w:asciiTheme="minorEastAsia" w:eastAsiaTheme="minorEastAsia" w:hAnsiTheme="minorEastAsia" w:hint="eastAsia"/>
          <w:sz w:val="28"/>
          <w:szCs w:val="28"/>
        </w:rPr>
        <w:t>（3）虚假诉讼情况多。实践中，虚假诉讼在夫妻共同债务案件中出现频率较高。主要表现形式有二：一是一些夫妻假借离婚逃避债务的现象时有发生。常常是夫妻双方在民政部门协议离婚或者到法院调解离婚，在离婚协议中约定，由一方偿还债务，而主要财产却归另一方所有。二</w:t>
      </w:r>
      <w:r w:rsidRPr="00675F83">
        <w:rPr>
          <w:rFonts w:ascii="宋体" w:hAnsi="宋体" w:hint="eastAsia"/>
          <w:sz w:val="28"/>
          <w:szCs w:val="28"/>
        </w:rPr>
        <w:t>是夫妻一方恶意串通案外人侵害另一方财产权益的情况多发。在夫妻离婚案件中或是夫妻离婚后，夫妻一方恶意串通案外人虚构债务，主张由另一方承担共同还款义务的情况频发，极有可能导致另一方背上“不存在”的债务。</w:t>
      </w:r>
    </w:p>
    <w:p w:rsidR="00AB4B0B" w:rsidRPr="00675F83" w:rsidRDefault="00AB4B0B" w:rsidP="00C45223">
      <w:pPr>
        <w:adjustRightInd w:val="0"/>
        <w:snapToGrid w:val="0"/>
        <w:spacing w:line="520" w:lineRule="exact"/>
        <w:ind w:firstLine="562"/>
        <w:jc w:val="left"/>
        <w:rPr>
          <w:rFonts w:ascii="仿宋_GB2312" w:eastAsia="仿宋_GB2312"/>
          <w:sz w:val="30"/>
          <w:szCs w:val="30"/>
        </w:rPr>
      </w:pPr>
      <w:r w:rsidRPr="00675F83">
        <w:rPr>
          <w:rFonts w:ascii="宋体" w:hint="eastAsia"/>
          <w:b/>
          <w:bCs/>
          <w:sz w:val="30"/>
          <w:szCs w:val="30"/>
        </w:rPr>
        <w:t>3.</w:t>
      </w:r>
      <w:r w:rsidR="00816F8C" w:rsidRPr="00675F83">
        <w:rPr>
          <w:rFonts w:ascii="宋体" w:hint="eastAsia"/>
          <w:b/>
          <w:bCs/>
          <w:sz w:val="30"/>
          <w:szCs w:val="30"/>
        </w:rPr>
        <w:t xml:space="preserve"> </w:t>
      </w:r>
      <w:r w:rsidRPr="00675F83">
        <w:rPr>
          <w:rFonts w:ascii="宋体" w:hint="eastAsia"/>
          <w:b/>
          <w:bCs/>
          <w:sz w:val="30"/>
          <w:szCs w:val="30"/>
        </w:rPr>
        <w:t>法官提示</w:t>
      </w:r>
    </w:p>
    <w:p w:rsidR="00AB4B0B" w:rsidRPr="00675F83" w:rsidRDefault="00AB4B0B" w:rsidP="00C45223">
      <w:pPr>
        <w:adjustRightInd w:val="0"/>
        <w:snapToGrid w:val="0"/>
        <w:spacing w:line="520" w:lineRule="exact"/>
        <w:ind w:firstLine="562"/>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（1）</w:t>
      </w:r>
      <w:r w:rsidR="002F6F49" w:rsidRPr="00675F83">
        <w:rPr>
          <w:rFonts w:asciiTheme="minorEastAsia" w:eastAsiaTheme="minorEastAsia" w:hAnsiTheme="minorEastAsia" w:hint="eastAsia"/>
          <w:sz w:val="28"/>
          <w:szCs w:val="28"/>
        </w:rPr>
        <w:t>依法推进共债共签</w:t>
      </w:r>
      <w:r w:rsidR="0009278F"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在借条由夫或妻一方单独出具的情况下，由于债权人事后证明夫妻具有借款合意或者借款用途的举证能力有限，故在借款当时，对于夫妻共同举债的，</w:t>
      </w:r>
      <w:r w:rsidR="002F6F49" w:rsidRPr="00675F83">
        <w:rPr>
          <w:rFonts w:asciiTheme="minorEastAsia" w:eastAsiaTheme="minorEastAsia" w:hAnsiTheme="minorEastAsia" w:hint="eastAsia"/>
          <w:sz w:val="28"/>
          <w:szCs w:val="28"/>
        </w:rPr>
        <w:t>建议出借人应要求借款</w:t>
      </w:r>
      <w:r w:rsidRPr="00675F83">
        <w:rPr>
          <w:rFonts w:asciiTheme="minorEastAsia" w:eastAsiaTheme="minorEastAsia" w:hAnsiTheme="minorEastAsia" w:hint="eastAsia"/>
          <w:sz w:val="28"/>
          <w:szCs w:val="28"/>
        </w:rPr>
        <w:t>夫妻共同在借条上署名。在无法实现“共债共签”的情况下，如借款确系夫妻共同为日常生活或者经营所用，建议在借款时明确借款用途，并及时留存资金使用状况方面的证据。</w:t>
      </w:r>
    </w:p>
    <w:p w:rsidR="002F6F49" w:rsidRPr="00675F83" w:rsidRDefault="00AB4B0B" w:rsidP="00C45223">
      <w:pPr>
        <w:adjustRightInd w:val="0"/>
        <w:snapToGrid w:val="0"/>
        <w:spacing w:line="520" w:lineRule="exact"/>
        <w:ind w:firstLine="562"/>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lastRenderedPageBreak/>
        <w:t>（2）</w:t>
      </w:r>
      <w:r w:rsidR="00B72096" w:rsidRPr="00675F83">
        <w:rPr>
          <w:rFonts w:asciiTheme="minorEastAsia" w:eastAsiaTheme="minorEastAsia" w:hAnsiTheme="minorEastAsia" w:hint="eastAsia"/>
          <w:sz w:val="28"/>
          <w:szCs w:val="28"/>
        </w:rPr>
        <w:t>明确</w:t>
      </w:r>
      <w:r w:rsidRPr="00675F83">
        <w:rPr>
          <w:rFonts w:asciiTheme="minorEastAsia" w:eastAsiaTheme="minorEastAsia" w:hAnsiTheme="minorEastAsia" w:hint="eastAsia"/>
          <w:sz w:val="28"/>
          <w:szCs w:val="28"/>
        </w:rPr>
        <w:t>款项往来性质</w:t>
      </w:r>
      <w:r w:rsidR="0009278F"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在民间借贷案件审理过程中，由于家庭成员间交往的密切性，使得钱款性质在借贷以及赠与之间难以厘定。基于此类现象多发，建议夫妻一方如向其父母或其他家庭成员借款，或者一方父母或其他家庭成员向夫妻一方转款的，提前明确款项性质系出借还是赠与，避免产生不必要的纠纷。</w:t>
      </w:r>
      <w:r w:rsidR="00EA24D1" w:rsidRPr="00675F83">
        <w:rPr>
          <w:rFonts w:asciiTheme="minorEastAsia" w:eastAsiaTheme="minorEastAsia" w:hAnsiTheme="minorEastAsia" w:hint="eastAsia"/>
          <w:sz w:val="28"/>
          <w:szCs w:val="28"/>
        </w:rPr>
        <w:t>根据现行裁判规则，如在父母出资为子女购买不动产，事后父母不能就出资为借贷提供充分证据证明导致出资性质处于真伪不明状态时，</w:t>
      </w:r>
      <w:r w:rsidR="002F6F49" w:rsidRPr="00675F83">
        <w:rPr>
          <w:rFonts w:asciiTheme="minorEastAsia" w:eastAsiaTheme="minorEastAsia" w:hAnsiTheme="minorEastAsia" w:hint="eastAsia"/>
          <w:sz w:val="28"/>
          <w:szCs w:val="28"/>
        </w:rPr>
        <w:t>应由父母承担举证不能的责任，法院会倾向于认定该出资为对子女的赠与。</w:t>
      </w:r>
    </w:p>
    <w:p w:rsidR="006B1A23" w:rsidRPr="00675F83" w:rsidRDefault="00AB4B0B" w:rsidP="00C45223">
      <w:pPr>
        <w:adjustRightInd w:val="0"/>
        <w:snapToGrid w:val="0"/>
        <w:spacing w:line="520" w:lineRule="exact"/>
        <w:ind w:firstLine="562"/>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（3）坚决杜绝虚假诉讼</w:t>
      </w:r>
      <w:r w:rsidR="00221C77" w:rsidRPr="00675F83">
        <w:rPr>
          <w:rFonts w:asciiTheme="minorEastAsia" w:eastAsiaTheme="minorEastAsia" w:hAnsiTheme="minorEastAsia" w:hint="eastAsia"/>
          <w:sz w:val="28"/>
          <w:szCs w:val="28"/>
        </w:rPr>
        <w:t>。</w:t>
      </w:r>
      <w:r w:rsidRPr="00675F83">
        <w:rPr>
          <w:rFonts w:asciiTheme="minorEastAsia" w:eastAsiaTheme="minorEastAsia" w:hAnsiTheme="minorEastAsia" w:hint="eastAsia"/>
          <w:sz w:val="28"/>
          <w:szCs w:val="28"/>
        </w:rPr>
        <w:t>在司法实践中，债权人与夫妻一方恶意串通，捏造夫妻共同债务的案件多发。虚假诉讼不仅妨害司法机关的审判秩序、干扰法院的公正审判，亦会对社会的诚信机制造成极大的威胁。虚假诉讼情节严重者，甚至会构成刑事犯罪，行为人需承担刑事责任。故在实践中，应当讲求诚信为本，实事求是，避免出现捏造证据、虚假陈述等不诚信的司法行为发生。</w:t>
      </w:r>
    </w:p>
    <w:p w:rsidR="00685C81" w:rsidRPr="00675F83" w:rsidRDefault="00685C81" w:rsidP="00C45223">
      <w:pPr>
        <w:adjustRightInd w:val="0"/>
        <w:snapToGrid w:val="0"/>
        <w:spacing w:line="520" w:lineRule="exact"/>
        <w:jc w:val="center"/>
        <w:rPr>
          <w:rFonts w:ascii="黑体" w:eastAsia="黑体" w:hAnsi="黑体"/>
          <w:b/>
          <w:sz w:val="36"/>
          <w:szCs w:val="36"/>
        </w:rPr>
      </w:pPr>
    </w:p>
    <w:p w:rsidR="00C3478E" w:rsidRPr="00675F83" w:rsidRDefault="006B1A23" w:rsidP="00C45223">
      <w:pPr>
        <w:adjustRightInd w:val="0"/>
        <w:snapToGrid w:val="0"/>
        <w:spacing w:line="520" w:lineRule="exact"/>
        <w:jc w:val="center"/>
        <w:rPr>
          <w:rFonts w:ascii="黑体" w:eastAsia="黑体" w:hAnsi="黑体"/>
          <w:b/>
          <w:sz w:val="32"/>
          <w:szCs w:val="32"/>
        </w:rPr>
      </w:pPr>
      <w:r w:rsidRPr="00675F83">
        <w:rPr>
          <w:rFonts w:ascii="黑体" w:eastAsia="黑体" w:hAnsi="黑体" w:hint="eastAsia"/>
          <w:b/>
          <w:sz w:val="32"/>
          <w:szCs w:val="32"/>
        </w:rPr>
        <w:t>展望编·再出发</w:t>
      </w:r>
    </w:p>
    <w:p w:rsidR="00A60E67" w:rsidRPr="00675F83" w:rsidRDefault="00A60E67"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敬老、爱老、助老是中华民族的传统美德，也是社会主义核心价值观的重要组成部分。维护好老年人的合法权益、努力满足老年人日益增长的美好生活的需要是全社会的共同责任。为此，作为涉老民事案件专业审判的先河，静安法院创新涉老审判工作机制、拓展审判延伸职能的同时，也不断加强内外联动，参与构筑更加全面立体的老年维权网络体系，引</w:t>
      </w:r>
      <w:r w:rsidRPr="00117446">
        <w:rPr>
          <w:rFonts w:ascii="宋体" w:hAnsi="宋体" w:hint="eastAsia"/>
          <w:sz w:val="28"/>
          <w:szCs w:val="28"/>
        </w:rPr>
        <w:t>领保护老年合法权益良好社会风尚，为老年人“有尊严、有价值、</w:t>
      </w:r>
      <w:r w:rsidR="00EF2C76" w:rsidRPr="00117446">
        <w:rPr>
          <w:rFonts w:ascii="宋体" w:hAnsi="宋体" w:hint="eastAsia"/>
          <w:sz w:val="28"/>
          <w:szCs w:val="28"/>
        </w:rPr>
        <w:t>有</w:t>
      </w:r>
      <w:r w:rsidRPr="00675F83">
        <w:rPr>
          <w:rFonts w:ascii="宋体" w:hAnsi="宋体" w:hint="eastAsia"/>
          <w:sz w:val="28"/>
          <w:szCs w:val="28"/>
        </w:rPr>
        <w:t>质量”的晚年生活提供更加有力的司法保障。在回应老龄化社会现实需求、符合老年人生理心理特点的基础上，现提出如下加强老年人权益保护的建议。</w:t>
      </w:r>
    </w:p>
    <w:p w:rsidR="00CF043C" w:rsidRPr="00675F83" w:rsidRDefault="00A60E67" w:rsidP="00C45223">
      <w:pPr>
        <w:adjustRightInd w:val="0"/>
        <w:snapToGrid w:val="0"/>
        <w:spacing w:line="520" w:lineRule="exact"/>
        <w:ind w:firstLineChars="200" w:firstLine="602"/>
        <w:rPr>
          <w:rFonts w:ascii="黑体" w:eastAsia="黑体" w:hAnsi="黑体"/>
          <w:b/>
          <w:sz w:val="30"/>
          <w:szCs w:val="30"/>
        </w:rPr>
      </w:pPr>
      <w:r w:rsidRPr="00675F83">
        <w:rPr>
          <w:rFonts w:ascii="黑体" w:eastAsia="黑体" w:hAnsi="黑体" w:hint="eastAsia"/>
          <w:b/>
          <w:sz w:val="30"/>
          <w:szCs w:val="30"/>
        </w:rPr>
        <w:t>一、</w:t>
      </w:r>
      <w:r w:rsidR="00CF043C" w:rsidRPr="00675F83">
        <w:rPr>
          <w:rFonts w:ascii="黑体" w:eastAsia="黑体" w:hAnsi="黑体" w:hint="eastAsia"/>
          <w:b/>
          <w:sz w:val="30"/>
          <w:szCs w:val="30"/>
        </w:rPr>
        <w:t>多位一体，</w:t>
      </w:r>
      <w:r w:rsidR="008312A4" w:rsidRPr="00675F83">
        <w:rPr>
          <w:rFonts w:ascii="黑体" w:eastAsia="黑体" w:hAnsi="黑体" w:hint="eastAsia"/>
          <w:b/>
          <w:sz w:val="30"/>
          <w:szCs w:val="30"/>
        </w:rPr>
        <w:t>全方</w:t>
      </w:r>
      <w:r w:rsidR="00E4263F" w:rsidRPr="00675F83">
        <w:rPr>
          <w:rFonts w:ascii="黑体" w:eastAsia="黑体" w:hAnsi="黑体" w:hint="eastAsia"/>
          <w:b/>
          <w:sz w:val="30"/>
          <w:szCs w:val="30"/>
        </w:rPr>
        <w:t>位</w:t>
      </w:r>
      <w:r w:rsidR="008312A4" w:rsidRPr="00675F83">
        <w:rPr>
          <w:rFonts w:ascii="黑体" w:eastAsia="黑体" w:hAnsi="黑体" w:hint="eastAsia"/>
          <w:b/>
          <w:sz w:val="30"/>
          <w:szCs w:val="30"/>
        </w:rPr>
        <w:t>保障老年</w:t>
      </w:r>
      <w:r w:rsidR="008E76A2" w:rsidRPr="00675F83">
        <w:rPr>
          <w:rFonts w:ascii="黑体" w:eastAsia="黑体" w:hAnsi="黑体" w:hint="eastAsia"/>
          <w:b/>
          <w:sz w:val="30"/>
          <w:szCs w:val="30"/>
        </w:rPr>
        <w:t>人</w:t>
      </w:r>
      <w:r w:rsidR="008312A4" w:rsidRPr="00675F83">
        <w:rPr>
          <w:rFonts w:ascii="黑体" w:eastAsia="黑体" w:hAnsi="黑体" w:hint="eastAsia"/>
          <w:b/>
          <w:sz w:val="30"/>
          <w:szCs w:val="30"/>
        </w:rPr>
        <w:t>合法</w:t>
      </w:r>
      <w:r w:rsidR="00CF043C" w:rsidRPr="00675F83">
        <w:rPr>
          <w:rFonts w:ascii="黑体" w:eastAsia="黑体" w:hAnsi="黑体" w:hint="eastAsia"/>
          <w:b/>
          <w:sz w:val="30"/>
          <w:szCs w:val="30"/>
        </w:rPr>
        <w:t>权益</w:t>
      </w:r>
    </w:p>
    <w:p w:rsidR="00CF043C" w:rsidRPr="00675F83" w:rsidRDefault="00A60E67" w:rsidP="00C45223">
      <w:pPr>
        <w:adjustRightInd w:val="0"/>
        <w:snapToGrid w:val="0"/>
        <w:spacing w:line="520" w:lineRule="exact"/>
        <w:ind w:firstLineChars="150" w:firstLine="452"/>
        <w:rPr>
          <w:rFonts w:ascii="楷体" w:eastAsia="楷体" w:hAnsi="楷体"/>
          <w:b/>
          <w:bCs/>
          <w:sz w:val="30"/>
          <w:szCs w:val="30"/>
        </w:rPr>
      </w:pPr>
      <w:r w:rsidRPr="00675F83">
        <w:rPr>
          <w:rFonts w:ascii="楷体" w:eastAsia="楷体" w:hAnsi="楷体" w:hint="eastAsia"/>
          <w:b/>
          <w:sz w:val="30"/>
          <w:szCs w:val="30"/>
        </w:rPr>
        <w:lastRenderedPageBreak/>
        <w:t>（一）</w:t>
      </w:r>
      <w:r w:rsidR="00CF043C" w:rsidRPr="00675F83">
        <w:rPr>
          <w:rFonts w:ascii="楷体" w:eastAsia="楷体" w:hAnsi="楷体" w:hint="eastAsia"/>
          <w:b/>
          <w:bCs/>
          <w:sz w:val="30"/>
          <w:szCs w:val="30"/>
        </w:rPr>
        <w:t>加强涉老诉讼预防机制，减少老年人诉累</w:t>
      </w:r>
    </w:p>
    <w:p w:rsidR="00CF043C" w:rsidRPr="00675F83" w:rsidRDefault="00E4263F"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相较于</w:t>
      </w:r>
      <w:r w:rsidR="00CF043C" w:rsidRPr="00675F83">
        <w:rPr>
          <w:rFonts w:ascii="宋体" w:hAnsi="宋体" w:hint="eastAsia"/>
          <w:sz w:val="28"/>
          <w:szCs w:val="28"/>
        </w:rPr>
        <w:t>一般的诉讼主体，老年人基于其生理、心理、文化水平、经济状况等各方面的原因，诉讼能力较弱，且家庭内部纠纷占比较大，到法院</w:t>
      </w:r>
      <w:r w:rsidR="00EA24D1" w:rsidRPr="00675F83">
        <w:rPr>
          <w:rFonts w:ascii="宋体" w:hAnsi="宋体" w:hint="eastAsia"/>
          <w:sz w:val="28"/>
          <w:szCs w:val="28"/>
        </w:rPr>
        <w:t>来</w:t>
      </w:r>
      <w:r w:rsidR="00CF043C" w:rsidRPr="00675F83">
        <w:rPr>
          <w:rFonts w:ascii="宋体" w:hAnsi="宋体" w:hint="eastAsia"/>
          <w:sz w:val="28"/>
          <w:szCs w:val="28"/>
        </w:rPr>
        <w:t>诉讼</w:t>
      </w:r>
      <w:r w:rsidR="00164D79" w:rsidRPr="00675F83">
        <w:rPr>
          <w:rFonts w:ascii="宋体" w:hAnsi="宋体" w:hint="eastAsia"/>
          <w:sz w:val="28"/>
          <w:szCs w:val="28"/>
        </w:rPr>
        <w:t>，对</w:t>
      </w:r>
      <w:r w:rsidR="00CF043C" w:rsidRPr="00675F83">
        <w:rPr>
          <w:rFonts w:ascii="宋体" w:hAnsi="宋体" w:hint="eastAsia"/>
          <w:sz w:val="28"/>
          <w:szCs w:val="28"/>
        </w:rPr>
        <w:t>老年人来说身体以及财力均负担较大。而对于这类案件，基于基层群众性自治组织，包括居民委员会以及村民委员会对社区的居民家庭状况比较了解，其可以充分发挥主动干预以及协调的职能，并充分利用社区的调解室，加强家庭成员之间的沟通，及时发现家庭问题的苗头，积极进行问题疏导，将纠纷消除在家庭内部。对于诉讼案件，要将调解关口前移。涉老纠纷起诉至法院后，优先进入诉前调解程序，邀请援助律师、人民调解员等共同参与诉前调解，对于诉前达成调解协议的案件，依法免收或少收案件受理费。</w:t>
      </w:r>
    </w:p>
    <w:p w:rsidR="00CF043C" w:rsidRPr="00675F83" w:rsidRDefault="00A60E67" w:rsidP="00C45223">
      <w:pPr>
        <w:adjustRightInd w:val="0"/>
        <w:snapToGrid w:val="0"/>
        <w:spacing w:line="520" w:lineRule="exact"/>
        <w:ind w:firstLineChars="200" w:firstLine="602"/>
        <w:rPr>
          <w:rFonts w:ascii="楷体" w:eastAsia="楷体" w:hAnsi="楷体"/>
          <w:b/>
          <w:sz w:val="30"/>
          <w:szCs w:val="30"/>
        </w:rPr>
      </w:pPr>
      <w:r w:rsidRPr="00675F83">
        <w:rPr>
          <w:rFonts w:ascii="楷体" w:eastAsia="楷体" w:hAnsi="楷体" w:hint="eastAsia"/>
          <w:b/>
          <w:sz w:val="30"/>
          <w:szCs w:val="30"/>
        </w:rPr>
        <w:t>（二）</w:t>
      </w:r>
      <w:r w:rsidR="00CF043C" w:rsidRPr="00675F83">
        <w:rPr>
          <w:rFonts w:ascii="楷体" w:eastAsia="楷体" w:hAnsi="楷体" w:hint="eastAsia"/>
          <w:b/>
          <w:sz w:val="30"/>
          <w:szCs w:val="30"/>
        </w:rPr>
        <w:t>创新涉老审判机制，践行司法为民理念</w:t>
      </w:r>
    </w:p>
    <w:p w:rsidR="004C23C9" w:rsidRPr="00675F83" w:rsidRDefault="00A60E67" w:rsidP="00C45223">
      <w:pPr>
        <w:adjustRightInd w:val="0"/>
        <w:snapToGrid w:val="0"/>
        <w:spacing w:line="520" w:lineRule="exact"/>
        <w:ind w:firstLineChars="200" w:firstLine="602"/>
        <w:rPr>
          <w:rFonts w:asciiTheme="minorEastAsia" w:eastAsiaTheme="minorEastAsia" w:hAnsiTheme="minorEastAsia"/>
          <w:b/>
          <w:sz w:val="30"/>
          <w:szCs w:val="30"/>
        </w:rPr>
      </w:pPr>
      <w:r w:rsidRPr="00675F83">
        <w:rPr>
          <w:rFonts w:asciiTheme="minorEastAsia" w:eastAsiaTheme="minorEastAsia" w:hAnsiTheme="minorEastAsia" w:hint="eastAsia"/>
          <w:b/>
          <w:bCs/>
          <w:sz w:val="30"/>
          <w:szCs w:val="30"/>
        </w:rPr>
        <w:t>1.</w:t>
      </w:r>
      <w:r w:rsidR="004C23C9" w:rsidRPr="00675F83">
        <w:rPr>
          <w:rFonts w:asciiTheme="minorEastAsia" w:eastAsiaTheme="minorEastAsia" w:hAnsiTheme="minorEastAsia" w:hint="eastAsia"/>
          <w:b/>
          <w:bCs/>
          <w:sz w:val="30"/>
          <w:szCs w:val="30"/>
        </w:rPr>
        <w:t xml:space="preserve"> </w:t>
      </w:r>
      <w:r w:rsidR="0054320C" w:rsidRPr="00675F83">
        <w:rPr>
          <w:rFonts w:asciiTheme="minorEastAsia" w:eastAsiaTheme="minorEastAsia" w:hAnsiTheme="minorEastAsia" w:hint="eastAsia"/>
          <w:b/>
          <w:sz w:val="30"/>
          <w:szCs w:val="30"/>
        </w:rPr>
        <w:t>立案方式选择多元化、个性</w:t>
      </w:r>
      <w:r w:rsidR="00CF043C" w:rsidRPr="00675F83">
        <w:rPr>
          <w:rFonts w:asciiTheme="minorEastAsia" w:eastAsiaTheme="minorEastAsia" w:hAnsiTheme="minorEastAsia" w:hint="eastAsia"/>
          <w:b/>
          <w:sz w:val="30"/>
          <w:szCs w:val="30"/>
        </w:rPr>
        <w:t>化</w:t>
      </w:r>
    </w:p>
    <w:p w:rsidR="005866DF" w:rsidRPr="00675F83" w:rsidRDefault="005866DF" w:rsidP="00C45223">
      <w:pPr>
        <w:adjustRightInd w:val="0"/>
        <w:snapToGrid w:val="0"/>
        <w:spacing w:line="520" w:lineRule="exact"/>
        <w:ind w:firstLineChars="200" w:firstLine="560"/>
        <w:rPr>
          <w:rFonts w:ascii="仿宋" w:eastAsia="仿宋" w:hAnsi="仿宋"/>
          <w:b/>
          <w:sz w:val="28"/>
          <w:szCs w:val="28"/>
        </w:rPr>
      </w:pPr>
      <w:r w:rsidRPr="00675F83">
        <w:rPr>
          <w:rFonts w:asciiTheme="minorEastAsia" w:eastAsiaTheme="minorEastAsia" w:hAnsiTheme="minorEastAsia" w:hint="eastAsia"/>
          <w:sz w:val="28"/>
          <w:szCs w:val="28"/>
        </w:rPr>
        <w:t>静安法院</w:t>
      </w:r>
      <w:r w:rsidRPr="00675F83">
        <w:rPr>
          <w:rFonts w:ascii="宋体" w:hAnsi="宋体" w:hint="eastAsia"/>
          <w:sz w:val="28"/>
          <w:szCs w:val="28"/>
        </w:rPr>
        <w:t>在审判过程中积极将“便民诉讼”贯彻始终。在疫情期间为便于老年人立案，积极开辟“绿色通道”，保证老年人疫情期间立案免排队免预约。同时，对于行动不便的老年人，可加强“网上立案”的指引，必要时采取上门接待和收案的方式。对于卧床老人，工作人员可以探索“床边”起诉模式，允许当事人口头起诉。充分发挥立案大厅的便民诉讼平台服务，对于起诉困难的老年人，主动提供起诉指导，提供起诉状书写模板，在老年人书写困难的情况下，法律援助工作者可以通过代书起诉状协助老年人立案。</w:t>
      </w:r>
    </w:p>
    <w:p w:rsidR="004C23C9" w:rsidRPr="00675F83" w:rsidRDefault="00A60E67" w:rsidP="00C45223">
      <w:pPr>
        <w:adjustRightInd w:val="0"/>
        <w:snapToGrid w:val="0"/>
        <w:spacing w:line="520" w:lineRule="exact"/>
        <w:ind w:firstLineChars="200" w:firstLine="602"/>
        <w:rPr>
          <w:rFonts w:ascii="宋体" w:hAnsi="宋体"/>
          <w:sz w:val="28"/>
          <w:szCs w:val="28"/>
        </w:rPr>
      </w:pPr>
      <w:r w:rsidRPr="00675F83">
        <w:rPr>
          <w:rFonts w:asciiTheme="minorEastAsia" w:eastAsiaTheme="minorEastAsia" w:hAnsiTheme="minorEastAsia" w:hint="eastAsia"/>
          <w:b/>
          <w:bCs/>
          <w:sz w:val="30"/>
          <w:szCs w:val="30"/>
        </w:rPr>
        <w:t>2.</w:t>
      </w:r>
      <w:r w:rsidR="004C23C9" w:rsidRPr="00675F83">
        <w:rPr>
          <w:rFonts w:asciiTheme="minorEastAsia" w:eastAsiaTheme="minorEastAsia" w:hAnsiTheme="minorEastAsia" w:hint="eastAsia"/>
          <w:b/>
          <w:bCs/>
          <w:sz w:val="30"/>
          <w:szCs w:val="30"/>
        </w:rPr>
        <w:t xml:space="preserve"> </w:t>
      </w:r>
      <w:r w:rsidR="0054320C" w:rsidRPr="00675F83">
        <w:rPr>
          <w:rFonts w:asciiTheme="minorEastAsia" w:eastAsiaTheme="minorEastAsia" w:hAnsiTheme="minorEastAsia" w:hint="eastAsia"/>
          <w:b/>
          <w:sz w:val="30"/>
          <w:szCs w:val="30"/>
        </w:rPr>
        <w:t>开庭方式安排人性化、便民</w:t>
      </w:r>
      <w:r w:rsidR="00CF043C" w:rsidRPr="00675F83">
        <w:rPr>
          <w:rFonts w:asciiTheme="minorEastAsia" w:eastAsiaTheme="minorEastAsia" w:hAnsiTheme="minorEastAsia" w:hint="eastAsia"/>
          <w:b/>
          <w:sz w:val="30"/>
          <w:szCs w:val="30"/>
        </w:rPr>
        <w:t>化</w:t>
      </w:r>
    </w:p>
    <w:p w:rsidR="00CF043C" w:rsidRPr="00675F83" w:rsidRDefault="00CF043C" w:rsidP="00C45223">
      <w:pPr>
        <w:adjustRightInd w:val="0"/>
        <w:snapToGrid w:val="0"/>
        <w:spacing w:line="520" w:lineRule="exact"/>
        <w:ind w:firstLineChars="200" w:firstLine="560"/>
        <w:rPr>
          <w:rFonts w:ascii="仿宋" w:eastAsia="仿宋" w:hAnsi="仿宋"/>
          <w:b/>
          <w:sz w:val="28"/>
          <w:szCs w:val="28"/>
        </w:rPr>
      </w:pPr>
      <w:r w:rsidRPr="00675F83">
        <w:rPr>
          <w:rFonts w:ascii="宋体" w:hAnsi="宋体" w:hint="eastAsia"/>
          <w:sz w:val="28"/>
          <w:szCs w:val="28"/>
        </w:rPr>
        <w:t>随着互联网以及大数据平台在司法系统的广泛应用，庭审模式实现了多样化，对于不便至法院开庭的老年人，或者是人在异地的老年人，可排除传统庭审模式的适用，法院应尽量采用“线上”开庭的方式，减少老年人诉累。对于需线下开庭的案件，在开庭时间的安排上</w:t>
      </w:r>
      <w:r w:rsidRPr="00675F83">
        <w:rPr>
          <w:rFonts w:ascii="宋体" w:hAnsi="宋体" w:hint="eastAsia"/>
          <w:sz w:val="28"/>
          <w:szCs w:val="28"/>
        </w:rPr>
        <w:lastRenderedPageBreak/>
        <w:t>应符合老年人身体状况，书记员可预先电话询问老年当事人的身体状况，以及对开庭的特殊性要求，在便民以及合乎程序规则的原则下安排合适的开庭时间，践行程序正义，传播司法温情；在开庭地点上，进一步强化“上门开庭”以及“社区开庭”等服务，为老年人提供“在家门口解决纠纷”的便民诉讼机制。</w:t>
      </w:r>
    </w:p>
    <w:p w:rsidR="004C23C9" w:rsidRPr="00675F83" w:rsidRDefault="00A60E67" w:rsidP="00C45223">
      <w:pPr>
        <w:adjustRightInd w:val="0"/>
        <w:snapToGrid w:val="0"/>
        <w:spacing w:line="520" w:lineRule="exact"/>
        <w:ind w:firstLineChars="200" w:firstLine="602"/>
        <w:rPr>
          <w:rFonts w:asciiTheme="minorEastAsia" w:eastAsiaTheme="minorEastAsia" w:hAnsiTheme="minorEastAsia"/>
          <w:b/>
          <w:sz w:val="30"/>
          <w:szCs w:val="30"/>
        </w:rPr>
      </w:pPr>
      <w:r w:rsidRPr="00675F83">
        <w:rPr>
          <w:rFonts w:asciiTheme="minorEastAsia" w:eastAsiaTheme="minorEastAsia" w:hAnsiTheme="minorEastAsia" w:hint="eastAsia"/>
          <w:b/>
          <w:bCs/>
          <w:sz w:val="30"/>
          <w:szCs w:val="30"/>
        </w:rPr>
        <w:t>3.</w:t>
      </w:r>
      <w:r w:rsidR="004C23C9" w:rsidRPr="00675F83">
        <w:rPr>
          <w:rFonts w:asciiTheme="minorEastAsia" w:eastAsiaTheme="minorEastAsia" w:hAnsiTheme="minorEastAsia" w:hint="eastAsia"/>
          <w:b/>
          <w:bCs/>
          <w:sz w:val="30"/>
          <w:szCs w:val="30"/>
        </w:rPr>
        <w:t xml:space="preserve"> </w:t>
      </w:r>
      <w:r w:rsidR="0054320C" w:rsidRPr="00675F83">
        <w:rPr>
          <w:rFonts w:asciiTheme="minorEastAsia" w:eastAsiaTheme="minorEastAsia" w:hAnsiTheme="minorEastAsia" w:hint="eastAsia"/>
          <w:b/>
          <w:sz w:val="30"/>
          <w:szCs w:val="30"/>
        </w:rPr>
        <w:t>举证责任分配公平化、合理</w:t>
      </w:r>
      <w:r w:rsidR="00CF043C" w:rsidRPr="00675F83">
        <w:rPr>
          <w:rFonts w:asciiTheme="minorEastAsia" w:eastAsiaTheme="minorEastAsia" w:hAnsiTheme="minorEastAsia" w:hint="eastAsia"/>
          <w:b/>
          <w:sz w:val="30"/>
          <w:szCs w:val="30"/>
        </w:rPr>
        <w:t>化</w:t>
      </w:r>
    </w:p>
    <w:p w:rsidR="00CF043C" w:rsidRPr="00675F83" w:rsidRDefault="00CF043C" w:rsidP="00C45223">
      <w:pPr>
        <w:adjustRightInd w:val="0"/>
        <w:snapToGrid w:val="0"/>
        <w:spacing w:line="520" w:lineRule="exact"/>
        <w:ind w:firstLineChars="200" w:firstLine="560"/>
        <w:rPr>
          <w:rFonts w:asciiTheme="minorEastAsia" w:eastAsiaTheme="minorEastAsia" w:hAnsiTheme="minorEastAsia"/>
          <w:sz w:val="30"/>
          <w:szCs w:val="30"/>
        </w:rPr>
      </w:pPr>
      <w:r w:rsidRPr="00675F83">
        <w:rPr>
          <w:rFonts w:ascii="宋体" w:hAnsi="宋体" w:hint="eastAsia"/>
          <w:sz w:val="28"/>
          <w:szCs w:val="28"/>
        </w:rPr>
        <w:t>在举证方面，法院应适度发挥职权，弥补老年人举证能力的不足。针对涉老诉讼，法院应主动进行诉讼指导，可以通过询问、告知、说明、释疑等多种方式，指导老年人举证。同时，法院可以依职权调查和收集案件的关键或主要证据，为老年人提供一种在法庭上平等对抗的机会。另</w:t>
      </w:r>
      <w:r w:rsidR="0039419D" w:rsidRPr="00675F83">
        <w:rPr>
          <w:rFonts w:ascii="宋体" w:hAnsi="宋体" w:hint="eastAsia"/>
          <w:sz w:val="28"/>
          <w:szCs w:val="28"/>
        </w:rPr>
        <w:t>外</w:t>
      </w:r>
      <w:r w:rsidR="002C1F2E" w:rsidRPr="00675F83">
        <w:rPr>
          <w:rFonts w:ascii="宋体" w:hAnsi="宋体" w:hint="eastAsia"/>
          <w:sz w:val="28"/>
          <w:szCs w:val="28"/>
        </w:rPr>
        <w:t>，</w:t>
      </w:r>
      <w:r w:rsidRPr="00675F83">
        <w:rPr>
          <w:rFonts w:ascii="宋体" w:hAnsi="宋体" w:hint="eastAsia"/>
          <w:sz w:val="28"/>
          <w:szCs w:val="28"/>
        </w:rPr>
        <w:t>在举证责任的分配上，应当根据双方</w:t>
      </w:r>
      <w:r w:rsidR="009931BD" w:rsidRPr="00675F83">
        <w:rPr>
          <w:rFonts w:ascii="宋体" w:hAnsi="宋体" w:hint="eastAsia"/>
          <w:sz w:val="28"/>
          <w:szCs w:val="28"/>
        </w:rPr>
        <w:t>当事人</w:t>
      </w:r>
      <w:r w:rsidRPr="00675F83">
        <w:rPr>
          <w:rFonts w:ascii="宋体" w:hAnsi="宋体" w:hint="eastAsia"/>
          <w:sz w:val="28"/>
          <w:szCs w:val="28"/>
        </w:rPr>
        <w:t>的</w:t>
      </w:r>
      <w:r w:rsidR="00EF2C76" w:rsidRPr="00117446">
        <w:rPr>
          <w:rFonts w:ascii="宋体" w:hAnsi="宋体" w:hint="eastAsia"/>
          <w:sz w:val="28"/>
          <w:szCs w:val="28"/>
        </w:rPr>
        <w:t>义务</w:t>
      </w:r>
      <w:r w:rsidRPr="00675F83">
        <w:rPr>
          <w:rFonts w:ascii="宋体" w:hAnsi="宋体" w:hint="eastAsia"/>
          <w:sz w:val="28"/>
          <w:szCs w:val="28"/>
        </w:rPr>
        <w:t>、信息优势、经济实力和诉讼地位，在法律允许的范围内合理确认举证责任的分担，避免因举证能力悬殊过大带来的审判不利。</w:t>
      </w:r>
    </w:p>
    <w:p w:rsidR="00867B00" w:rsidRPr="00117446" w:rsidRDefault="00D57DA3" w:rsidP="00D57DA3">
      <w:pPr>
        <w:adjustRightInd w:val="0"/>
        <w:snapToGrid w:val="0"/>
        <w:spacing w:line="520" w:lineRule="exact"/>
        <w:ind w:firstLine="602"/>
        <w:rPr>
          <w:rFonts w:asciiTheme="minorEastAsia" w:eastAsiaTheme="minorEastAsia" w:hAnsiTheme="minorEastAsia"/>
          <w:b/>
          <w:bCs/>
          <w:sz w:val="30"/>
          <w:szCs w:val="30"/>
        </w:rPr>
      </w:pPr>
      <w:r w:rsidRPr="00117446">
        <w:rPr>
          <w:rFonts w:asciiTheme="minorEastAsia" w:eastAsiaTheme="minorEastAsia" w:hAnsiTheme="minorEastAsia" w:hint="eastAsia"/>
          <w:b/>
          <w:bCs/>
          <w:sz w:val="30"/>
          <w:szCs w:val="30"/>
        </w:rPr>
        <w:t xml:space="preserve">4. </w:t>
      </w:r>
      <w:r w:rsidR="00CF043C" w:rsidRPr="00117446">
        <w:rPr>
          <w:rFonts w:asciiTheme="minorEastAsia" w:eastAsiaTheme="minorEastAsia" w:hAnsiTheme="minorEastAsia" w:hint="eastAsia"/>
          <w:b/>
          <w:bCs/>
          <w:sz w:val="30"/>
          <w:szCs w:val="30"/>
        </w:rPr>
        <w:t>判后执行与监督常态化、深入化</w:t>
      </w:r>
    </w:p>
    <w:p w:rsidR="00CF043C" w:rsidRPr="00675F83" w:rsidRDefault="00CF043C" w:rsidP="00867B00">
      <w:pPr>
        <w:adjustRightInd w:val="0"/>
        <w:snapToGrid w:val="0"/>
        <w:spacing w:line="520" w:lineRule="exact"/>
        <w:ind w:firstLineChars="200" w:firstLine="560"/>
        <w:rPr>
          <w:rFonts w:asciiTheme="minorEastAsia" w:eastAsiaTheme="minorEastAsia" w:hAnsiTheme="minorEastAsia"/>
          <w:sz w:val="28"/>
          <w:szCs w:val="28"/>
        </w:rPr>
      </w:pPr>
      <w:r w:rsidRPr="00675F83">
        <w:rPr>
          <w:rFonts w:ascii="宋体" w:hAnsi="宋体" w:hint="eastAsia"/>
          <w:sz w:val="28"/>
          <w:szCs w:val="28"/>
        </w:rPr>
        <w:t>案件在执行阶段，应及时执行，做到审执兼顾，特别是老年人比较迫切需要得到执行的赡养费案件或是人身损害赔偿案件。努力破解“执行难”问题，保障胜诉老年人的权益及时履行到位，实现审判工作的法律效果与社会效果相统一。同时，将判后回访作为涉老案件的常态化工作，保障老年人的赡养以及监护得到及时的监督</w:t>
      </w:r>
      <w:r w:rsidR="00EA24D1" w:rsidRPr="00675F83">
        <w:rPr>
          <w:rFonts w:ascii="宋体" w:hAnsi="宋体" w:hint="eastAsia"/>
          <w:sz w:val="28"/>
          <w:szCs w:val="28"/>
        </w:rPr>
        <w:t>与</w:t>
      </w:r>
      <w:r w:rsidRPr="00675F83">
        <w:rPr>
          <w:rFonts w:ascii="宋体" w:hAnsi="宋体" w:hint="eastAsia"/>
          <w:sz w:val="28"/>
          <w:szCs w:val="28"/>
        </w:rPr>
        <w:t>切实的保障。</w:t>
      </w:r>
    </w:p>
    <w:p w:rsidR="00CF043C" w:rsidRPr="00675F83" w:rsidRDefault="00A60E67" w:rsidP="00C45223">
      <w:pPr>
        <w:adjustRightInd w:val="0"/>
        <w:snapToGrid w:val="0"/>
        <w:spacing w:line="520" w:lineRule="exact"/>
        <w:ind w:firstLineChars="200" w:firstLine="602"/>
        <w:rPr>
          <w:rFonts w:ascii="楷体" w:eastAsia="楷体" w:hAnsi="楷体"/>
          <w:b/>
          <w:sz w:val="30"/>
          <w:szCs w:val="30"/>
        </w:rPr>
      </w:pPr>
      <w:r w:rsidRPr="00675F83">
        <w:rPr>
          <w:rFonts w:ascii="楷体" w:eastAsia="楷体" w:hAnsi="楷体" w:hint="eastAsia"/>
          <w:b/>
          <w:sz w:val="30"/>
          <w:szCs w:val="30"/>
        </w:rPr>
        <w:t>（三）</w:t>
      </w:r>
      <w:r w:rsidR="00EA24D1" w:rsidRPr="00675F83">
        <w:rPr>
          <w:rFonts w:ascii="楷体" w:eastAsia="楷体" w:hAnsi="楷体" w:hint="eastAsia"/>
          <w:b/>
          <w:sz w:val="30"/>
          <w:szCs w:val="30"/>
        </w:rPr>
        <w:t>巩固老年人法律援助长效机制，保障老年人诉讼权利</w:t>
      </w:r>
    </w:p>
    <w:p w:rsidR="005866DF" w:rsidRPr="00675F83" w:rsidRDefault="005866DF" w:rsidP="00C45223">
      <w:pPr>
        <w:adjustRightInd w:val="0"/>
        <w:snapToGrid w:val="0"/>
        <w:spacing w:line="520" w:lineRule="exact"/>
        <w:ind w:firstLineChars="200" w:firstLine="560"/>
        <w:rPr>
          <w:rFonts w:ascii="楷体" w:eastAsia="楷体" w:hAnsi="楷体"/>
          <w:sz w:val="28"/>
          <w:szCs w:val="28"/>
        </w:rPr>
      </w:pPr>
      <w:r w:rsidRPr="00675F83">
        <w:rPr>
          <w:rFonts w:ascii="宋体" w:hAnsi="宋体" w:hint="eastAsia"/>
          <w:sz w:val="28"/>
          <w:szCs w:val="28"/>
        </w:rPr>
        <w:t>司法实践表明，老年人生理机能衰退、法律知识欠缺、经济状况较局促等特点，致使老年人举证能力较弱，通过法律程序维权仍有一定困难，需要法律援助介入协助。基层组织应加强法律援助的宣传。律师、公证员、基层法律工作者作为法律援助的实施主体，应全面切实履行援助职责，保护老年人的合法权益。法院与司法局、法律援助</w:t>
      </w:r>
      <w:r w:rsidRPr="00675F83">
        <w:rPr>
          <w:rFonts w:ascii="宋体" w:hAnsi="宋体" w:hint="eastAsia"/>
          <w:sz w:val="28"/>
          <w:szCs w:val="28"/>
        </w:rPr>
        <w:lastRenderedPageBreak/>
        <w:t>中心、律师协会等单位搭建合作平台，建立涉老民事案件信息沟通机制、定期会商研讨机制，妥善处理涉老纠纷。静安法院通过在法院立案大厅设立法律援助窗口，同社区对接，指派工作人员定期入社区提供法律咨询服务，深入养老院、敬老院开办法律讲座等举措，将法律和司法服务送至老年人的身边。</w:t>
      </w:r>
    </w:p>
    <w:p w:rsidR="00FF3F1F" w:rsidRPr="00675F83" w:rsidRDefault="00FF3F1F" w:rsidP="00C45223">
      <w:pPr>
        <w:adjustRightInd w:val="0"/>
        <w:snapToGrid w:val="0"/>
        <w:spacing w:line="520" w:lineRule="exact"/>
        <w:ind w:firstLineChars="200" w:firstLine="602"/>
        <w:rPr>
          <w:rFonts w:ascii="黑体" w:eastAsia="黑体" w:hAnsi="黑体"/>
          <w:b/>
          <w:sz w:val="30"/>
          <w:szCs w:val="30"/>
        </w:rPr>
      </w:pPr>
    </w:p>
    <w:p w:rsidR="0092693E" w:rsidRPr="00675F83" w:rsidRDefault="00A60E67" w:rsidP="00C45223">
      <w:pPr>
        <w:adjustRightInd w:val="0"/>
        <w:snapToGrid w:val="0"/>
        <w:spacing w:line="520" w:lineRule="exact"/>
        <w:ind w:firstLineChars="200" w:firstLine="602"/>
        <w:rPr>
          <w:rFonts w:ascii="黑体" w:eastAsia="黑体" w:hAnsi="黑体"/>
          <w:sz w:val="30"/>
          <w:szCs w:val="30"/>
        </w:rPr>
      </w:pPr>
      <w:r w:rsidRPr="00675F83">
        <w:rPr>
          <w:rFonts w:ascii="黑体" w:eastAsia="黑体" w:hAnsi="黑体" w:hint="eastAsia"/>
          <w:b/>
          <w:sz w:val="30"/>
          <w:szCs w:val="30"/>
        </w:rPr>
        <w:t>二、</w:t>
      </w:r>
      <w:r w:rsidR="0092693E" w:rsidRPr="00675F83">
        <w:rPr>
          <w:rFonts w:ascii="黑体" w:eastAsia="黑体" w:hAnsi="黑体" w:hint="eastAsia"/>
          <w:b/>
          <w:sz w:val="30"/>
          <w:szCs w:val="30"/>
        </w:rPr>
        <w:t>多方联动，全方位提升老年服务水平</w:t>
      </w:r>
    </w:p>
    <w:p w:rsidR="0092693E" w:rsidRPr="00675F83" w:rsidRDefault="00A60E67" w:rsidP="00C45223">
      <w:pPr>
        <w:adjustRightInd w:val="0"/>
        <w:snapToGrid w:val="0"/>
        <w:spacing w:line="520" w:lineRule="exact"/>
        <w:ind w:firstLineChars="200" w:firstLine="602"/>
        <w:rPr>
          <w:rFonts w:ascii="楷体" w:eastAsia="楷体" w:hAnsi="楷体"/>
          <w:b/>
          <w:sz w:val="30"/>
          <w:szCs w:val="30"/>
        </w:rPr>
      </w:pPr>
      <w:r w:rsidRPr="00675F83">
        <w:rPr>
          <w:rFonts w:ascii="楷体" w:eastAsia="楷体" w:hAnsi="楷体" w:hint="eastAsia"/>
          <w:b/>
          <w:sz w:val="30"/>
          <w:szCs w:val="30"/>
        </w:rPr>
        <w:t>（一）</w:t>
      </w:r>
      <w:r w:rsidR="0092693E" w:rsidRPr="00675F83">
        <w:rPr>
          <w:rFonts w:ascii="楷体" w:eastAsia="楷体" w:hAnsi="楷体" w:hint="eastAsia"/>
          <w:b/>
          <w:sz w:val="30"/>
          <w:szCs w:val="30"/>
        </w:rPr>
        <w:t>积极探索发展新型养老模式，</w:t>
      </w:r>
      <w:r w:rsidR="00C27B4A" w:rsidRPr="00675F83">
        <w:rPr>
          <w:rFonts w:ascii="楷体" w:eastAsia="楷体" w:hAnsi="楷体" w:hint="eastAsia"/>
          <w:b/>
          <w:sz w:val="30"/>
          <w:szCs w:val="30"/>
        </w:rPr>
        <w:t>完善</w:t>
      </w:r>
      <w:r w:rsidR="0092693E" w:rsidRPr="00675F83">
        <w:rPr>
          <w:rFonts w:ascii="楷体" w:eastAsia="楷体" w:hAnsi="楷体" w:hint="eastAsia"/>
          <w:b/>
          <w:sz w:val="30"/>
          <w:szCs w:val="30"/>
        </w:rPr>
        <w:t>养老服务体系</w:t>
      </w:r>
    </w:p>
    <w:p w:rsidR="0092693E" w:rsidRPr="00675F83" w:rsidRDefault="0092693E"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在老龄化程度持续加深的今天，如何让老年人健康幸福</w:t>
      </w:r>
      <w:r w:rsidR="00D57DA3" w:rsidRPr="00117446">
        <w:rPr>
          <w:rFonts w:ascii="宋体" w:hAnsi="宋体" w:hint="eastAsia"/>
          <w:sz w:val="28"/>
          <w:szCs w:val="28"/>
        </w:rPr>
        <w:t>地</w:t>
      </w:r>
      <w:r w:rsidR="0054320C" w:rsidRPr="00675F83">
        <w:rPr>
          <w:rFonts w:ascii="宋体" w:hAnsi="宋体" w:hint="eastAsia"/>
          <w:sz w:val="28"/>
          <w:szCs w:val="28"/>
        </w:rPr>
        <w:t>安度晚年，是</w:t>
      </w:r>
      <w:r w:rsidRPr="00675F83">
        <w:rPr>
          <w:rFonts w:ascii="宋体" w:hAnsi="宋体" w:hint="eastAsia"/>
          <w:sz w:val="28"/>
          <w:szCs w:val="28"/>
        </w:rPr>
        <w:t>我们必须回答好的现实课题。政府和社会应</w:t>
      </w:r>
      <w:r w:rsidR="0054320C" w:rsidRPr="00675F83">
        <w:rPr>
          <w:rFonts w:ascii="宋体" w:hAnsi="宋体" w:hint="eastAsia"/>
          <w:sz w:val="28"/>
          <w:szCs w:val="28"/>
        </w:rPr>
        <w:t>继续</w:t>
      </w:r>
      <w:r w:rsidRPr="00675F83">
        <w:rPr>
          <w:rFonts w:ascii="宋体" w:hAnsi="宋体" w:hint="eastAsia"/>
          <w:sz w:val="28"/>
          <w:szCs w:val="28"/>
        </w:rPr>
        <w:t>推进建立以居家养老服务为基础、社区服务为依托、机构充分发展、医养有机结合的多层次养老服务体系，提升健康养老服务水平，满足多层次，多样化的健康养老服务需求。政府和社会要积</w:t>
      </w:r>
      <w:r w:rsidR="00C814F0" w:rsidRPr="00675F83">
        <w:rPr>
          <w:rFonts w:ascii="宋体" w:hAnsi="宋体" w:hint="eastAsia"/>
          <w:sz w:val="28"/>
          <w:szCs w:val="28"/>
        </w:rPr>
        <w:t>极探索建立智慧养老服务模式，为老年人提供一站式、入户式养老服务,</w:t>
      </w:r>
      <w:r w:rsidRPr="00675F83">
        <w:rPr>
          <w:rFonts w:ascii="宋体" w:hAnsi="宋体" w:hint="eastAsia"/>
          <w:sz w:val="28"/>
          <w:szCs w:val="28"/>
        </w:rPr>
        <w:t>汲取先进经验，拓展使用集养老服务供需对接、服务质量</w:t>
      </w:r>
      <w:r w:rsidR="00EA24D1" w:rsidRPr="00675F83">
        <w:rPr>
          <w:rFonts w:ascii="宋体" w:hAnsi="宋体" w:hint="eastAsia"/>
          <w:sz w:val="28"/>
          <w:szCs w:val="28"/>
        </w:rPr>
        <w:t>实时</w:t>
      </w:r>
      <w:r w:rsidRPr="00675F83">
        <w:rPr>
          <w:rFonts w:ascii="宋体" w:hAnsi="宋体" w:hint="eastAsia"/>
          <w:sz w:val="28"/>
          <w:szCs w:val="28"/>
        </w:rPr>
        <w:t>监控和居家养老应急呼救于一体的“互联网+智慧养老”区级综合养老服务平台。同时，政府需进一步强化兜底保障服务，加强对独居老年人、失能失智家庭贫困老年人等的探访帮扶，对有集中供养意愿的特困人员实现“应养尽养”。</w:t>
      </w:r>
    </w:p>
    <w:p w:rsidR="0092693E" w:rsidRPr="00675F83" w:rsidRDefault="00122A04" w:rsidP="00C45223">
      <w:pPr>
        <w:adjustRightInd w:val="0"/>
        <w:snapToGrid w:val="0"/>
        <w:spacing w:line="520" w:lineRule="exact"/>
        <w:ind w:firstLineChars="200" w:firstLine="602"/>
        <w:rPr>
          <w:rFonts w:ascii="楷体" w:eastAsia="楷体" w:hAnsi="楷体"/>
          <w:sz w:val="30"/>
          <w:szCs w:val="30"/>
        </w:rPr>
      </w:pPr>
      <w:r w:rsidRPr="00675F83">
        <w:rPr>
          <w:rFonts w:ascii="楷体" w:eastAsia="楷体" w:hAnsi="楷体" w:hint="eastAsia"/>
          <w:b/>
          <w:sz w:val="30"/>
          <w:szCs w:val="30"/>
        </w:rPr>
        <w:t>（二）</w:t>
      </w:r>
      <w:r w:rsidR="0092693E" w:rsidRPr="00675F83">
        <w:rPr>
          <w:rFonts w:ascii="楷体" w:eastAsia="楷体" w:hAnsi="楷体" w:hint="eastAsia"/>
          <w:b/>
          <w:sz w:val="30"/>
          <w:szCs w:val="30"/>
        </w:rPr>
        <w:t xml:space="preserve"> </w:t>
      </w:r>
      <w:r w:rsidR="00C27B4A" w:rsidRPr="00675F83">
        <w:rPr>
          <w:rFonts w:ascii="楷体" w:eastAsia="楷体" w:hAnsi="楷体" w:hint="eastAsia"/>
          <w:b/>
          <w:sz w:val="30"/>
          <w:szCs w:val="30"/>
        </w:rPr>
        <w:t>推动</w:t>
      </w:r>
      <w:r w:rsidR="0092693E" w:rsidRPr="00675F83">
        <w:rPr>
          <w:rFonts w:ascii="楷体" w:eastAsia="楷体" w:hAnsi="楷体" w:hint="eastAsia"/>
          <w:b/>
          <w:sz w:val="30"/>
          <w:szCs w:val="30"/>
        </w:rPr>
        <w:t>兼顾老年人需求的社会建设，保证社会供给“适老化”</w:t>
      </w:r>
    </w:p>
    <w:p w:rsidR="0092693E" w:rsidRPr="00675F83" w:rsidRDefault="0092693E"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老年人日益增长的美好生活需要与社会供给“不适老”之间的矛盾，仍存在于现代社会的发展中，而随着“互联网+”时代的不断发展，“数字鸿沟”问题也不断凸显。</w:t>
      </w:r>
      <w:r w:rsidR="0090549F" w:rsidRPr="00675F83">
        <w:rPr>
          <w:rFonts w:ascii="宋体" w:hAnsi="宋体" w:hint="eastAsia"/>
          <w:sz w:val="28"/>
          <w:szCs w:val="28"/>
        </w:rPr>
        <w:t>政府和社会应当进一步深入贯彻国务院办公厅印发的《关于切实解决老年人运用智能技术困难的实施方案》文件精神，对传统的服务方式进行创新，保证传统服务方式与智能化服务并驾齐驱</w:t>
      </w:r>
      <w:r w:rsidRPr="00675F83">
        <w:rPr>
          <w:rFonts w:ascii="宋体" w:hAnsi="宋体" w:hint="eastAsia"/>
          <w:sz w:val="28"/>
          <w:szCs w:val="28"/>
        </w:rPr>
        <w:t>，</w:t>
      </w:r>
      <w:r w:rsidR="0090549F" w:rsidRPr="00675F83">
        <w:rPr>
          <w:rFonts w:ascii="宋体" w:hAnsi="宋体" w:hint="eastAsia"/>
          <w:sz w:val="28"/>
          <w:szCs w:val="28"/>
        </w:rPr>
        <w:t>以解决老年人在智能技术运用上的障碍。同时，</w:t>
      </w:r>
      <w:r w:rsidR="0090549F" w:rsidRPr="00675F83">
        <w:rPr>
          <w:rFonts w:ascii="宋体" w:hAnsi="宋体" w:hint="eastAsia"/>
          <w:sz w:val="28"/>
          <w:szCs w:val="28"/>
        </w:rPr>
        <w:lastRenderedPageBreak/>
        <w:t>鼓励企业发展银发经济，开发适老化的技术和产品，使得AI陪伴机器人、远程监测手表等适老产品走进千家万户。政府和社会要积极推进公共设施适老化改造</w:t>
      </w:r>
      <w:r w:rsidR="00EA24D1" w:rsidRPr="00675F83">
        <w:rPr>
          <w:rFonts w:ascii="宋体" w:hAnsi="宋体" w:hint="eastAsia"/>
          <w:sz w:val="28"/>
          <w:szCs w:val="28"/>
        </w:rPr>
        <w:t>，并适当为老年人提供医疗、交通</w:t>
      </w:r>
      <w:r w:rsidRPr="00675F83">
        <w:rPr>
          <w:rFonts w:ascii="宋体" w:hAnsi="宋体" w:hint="eastAsia"/>
          <w:sz w:val="28"/>
          <w:szCs w:val="28"/>
        </w:rPr>
        <w:t>等服务场所的“绿色通道”。老龄办、社区等承载老年人服务职能的机构应</w:t>
      </w:r>
      <w:r w:rsidR="0090549F" w:rsidRPr="00675F83">
        <w:rPr>
          <w:rFonts w:ascii="宋体" w:hAnsi="宋体" w:hint="eastAsia"/>
          <w:sz w:val="28"/>
          <w:szCs w:val="28"/>
        </w:rPr>
        <w:t>多加开展老年人慰问活动</w:t>
      </w:r>
      <w:r w:rsidR="005D6A71" w:rsidRPr="00675F83">
        <w:rPr>
          <w:rFonts w:ascii="宋体" w:hAnsi="宋体" w:hint="eastAsia"/>
          <w:sz w:val="28"/>
          <w:szCs w:val="28"/>
        </w:rPr>
        <w:t>、主题活动以及法律法规宣讲活动，</w:t>
      </w:r>
      <w:r w:rsidR="006F531B" w:rsidRPr="00675F83">
        <w:rPr>
          <w:rFonts w:ascii="宋体" w:hAnsi="宋体" w:hint="eastAsia"/>
          <w:sz w:val="28"/>
          <w:szCs w:val="28"/>
        </w:rPr>
        <w:t>增强老年人的自我保护意识，并提高他们的维权能力。</w:t>
      </w:r>
      <w:r w:rsidR="006562CD" w:rsidRPr="00675F83">
        <w:rPr>
          <w:rFonts w:ascii="宋体" w:hAnsi="宋体" w:hint="eastAsia"/>
          <w:sz w:val="28"/>
          <w:szCs w:val="28"/>
        </w:rPr>
        <w:t xml:space="preserve">                                 </w:t>
      </w:r>
    </w:p>
    <w:p w:rsidR="0092693E" w:rsidRPr="00675F83" w:rsidRDefault="00122A04" w:rsidP="00C45223">
      <w:pPr>
        <w:adjustRightInd w:val="0"/>
        <w:snapToGrid w:val="0"/>
        <w:spacing w:line="520" w:lineRule="exact"/>
        <w:ind w:firstLineChars="200" w:firstLine="602"/>
        <w:rPr>
          <w:rFonts w:ascii="楷体" w:eastAsia="楷体" w:hAnsi="楷体"/>
          <w:b/>
          <w:sz w:val="30"/>
          <w:szCs w:val="30"/>
        </w:rPr>
      </w:pPr>
      <w:r w:rsidRPr="00675F83">
        <w:rPr>
          <w:rFonts w:ascii="楷体" w:eastAsia="楷体" w:hAnsi="楷体" w:hint="eastAsia"/>
          <w:b/>
          <w:sz w:val="30"/>
          <w:szCs w:val="30"/>
        </w:rPr>
        <w:t>（三）</w:t>
      </w:r>
      <w:r w:rsidR="0092693E" w:rsidRPr="00675F83">
        <w:rPr>
          <w:rFonts w:ascii="楷体" w:eastAsia="楷体" w:hAnsi="楷体" w:hint="eastAsia"/>
          <w:b/>
          <w:sz w:val="30"/>
          <w:szCs w:val="30"/>
        </w:rPr>
        <w:t>完善老年人监护及居住权制度，</w:t>
      </w:r>
      <w:r w:rsidR="00C27B4A" w:rsidRPr="00675F83">
        <w:rPr>
          <w:rFonts w:ascii="楷体" w:eastAsia="楷体" w:hAnsi="楷体" w:hint="eastAsia"/>
          <w:b/>
          <w:sz w:val="30"/>
          <w:szCs w:val="30"/>
        </w:rPr>
        <w:t>全面保护老年人权益</w:t>
      </w:r>
    </w:p>
    <w:p w:rsidR="00156A10" w:rsidRPr="00675F83" w:rsidRDefault="00156A10" w:rsidP="00C4522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民法典》规定了意定监护制度，使得我国的监护制度更加完善。国家和社会应提供适配的监护支持与监督措施。相关部门应建立职责明确、程序清晰的监护监督机制。居民委员会、村民委员会应当指导、帮助和监督老年人的监护人依法履行监护职责，对于怠于行使监护职责甚至是侵害被监护人权益的行为，做到及时向有关政府部门报告。各级人民政府应开展监护知识宣传，为监护人更好履行监护职责提供教育指导服务。对于无法确定监护人的“孤老”群体，民政部门应主动承担起临时监护的职责，避免老年人的“监护缺失”情况出现。通过协议确定、遗嘱指定、意定监护而确定的监护人，社会应当对其法律效力予以充分认可，避免监护人办理业务受阻而不得不重新至法院起诉确定监护人，增加当事人诉累，拖延对老年人权益的保护。</w:t>
      </w:r>
    </w:p>
    <w:p w:rsidR="000661A6" w:rsidRDefault="0092693E" w:rsidP="00D57DA3">
      <w:pPr>
        <w:adjustRightInd w:val="0"/>
        <w:snapToGrid w:val="0"/>
        <w:spacing w:line="520" w:lineRule="exact"/>
        <w:ind w:firstLineChars="200" w:firstLine="560"/>
        <w:rPr>
          <w:rFonts w:ascii="宋体" w:hAnsi="宋体"/>
          <w:sz w:val="28"/>
          <w:szCs w:val="28"/>
        </w:rPr>
      </w:pPr>
      <w:r w:rsidRPr="00675F83">
        <w:rPr>
          <w:rFonts w:ascii="宋体" w:hAnsi="宋体" w:hint="eastAsia"/>
          <w:sz w:val="28"/>
          <w:szCs w:val="28"/>
        </w:rPr>
        <w:t>《民法典》正式</w:t>
      </w:r>
      <w:r w:rsidR="00D57DA3">
        <w:rPr>
          <w:rFonts w:ascii="宋体" w:hAnsi="宋体" w:hint="eastAsia"/>
          <w:sz w:val="28"/>
          <w:szCs w:val="28"/>
        </w:rPr>
        <w:t>将居住权明确以立法的形式予以确定，并将其定性为用益物权。</w:t>
      </w:r>
      <w:r w:rsidR="00D57DA3" w:rsidRPr="00117446">
        <w:rPr>
          <w:rFonts w:ascii="宋体" w:hAnsi="宋体" w:hint="eastAsia"/>
          <w:sz w:val="28"/>
          <w:szCs w:val="28"/>
        </w:rPr>
        <w:t>居住权</w:t>
      </w:r>
      <w:r w:rsidRPr="00117446">
        <w:rPr>
          <w:rFonts w:ascii="宋体" w:hAnsi="宋体" w:hint="eastAsia"/>
          <w:sz w:val="28"/>
          <w:szCs w:val="28"/>
        </w:rPr>
        <w:t>设立</w:t>
      </w:r>
      <w:r w:rsidR="00D57DA3" w:rsidRPr="00117446">
        <w:rPr>
          <w:rFonts w:ascii="宋体" w:hAnsi="宋体" w:hint="eastAsia"/>
          <w:sz w:val="28"/>
          <w:szCs w:val="28"/>
        </w:rPr>
        <w:t>的</w:t>
      </w:r>
      <w:r w:rsidRPr="00117446">
        <w:rPr>
          <w:rFonts w:ascii="宋体" w:hAnsi="宋体" w:hint="eastAsia"/>
          <w:sz w:val="28"/>
          <w:szCs w:val="28"/>
        </w:rPr>
        <w:t>本质意义在于保障住者有其居</w:t>
      </w:r>
      <w:r w:rsidR="00D57DA3" w:rsidRPr="00117446">
        <w:rPr>
          <w:rFonts w:ascii="宋体" w:hAnsi="宋体" w:hint="eastAsia"/>
          <w:sz w:val="28"/>
          <w:szCs w:val="28"/>
        </w:rPr>
        <w:t>，</w:t>
      </w:r>
      <w:r w:rsidRPr="00117446">
        <w:rPr>
          <w:rFonts w:ascii="宋体" w:hAnsi="宋体" w:hint="eastAsia"/>
          <w:sz w:val="28"/>
          <w:szCs w:val="28"/>
        </w:rPr>
        <w:t>而居住权作为《民法典》首次提出的新型权利，</w:t>
      </w:r>
      <w:r w:rsidR="00D57DA3" w:rsidRPr="00117446">
        <w:rPr>
          <w:rFonts w:ascii="宋体" w:hAnsi="宋体" w:hint="eastAsia"/>
          <w:sz w:val="28"/>
          <w:szCs w:val="28"/>
        </w:rPr>
        <w:t>其</w:t>
      </w:r>
      <w:r w:rsidRPr="00675F83">
        <w:rPr>
          <w:rFonts w:ascii="宋体" w:hAnsi="宋体" w:hint="eastAsia"/>
          <w:sz w:val="28"/>
          <w:szCs w:val="28"/>
        </w:rPr>
        <w:t>规定偏向基本化以及原则化，缺乏了居住权人和所有权人权利义务的规定以及全力保障等方面的细则规定，较易产生纠纷。故有关部门需要根据实践中的实际需求，逐步完善实施细则。</w:t>
      </w:r>
    </w:p>
    <w:p w:rsidR="006E3D7F" w:rsidRPr="00D57DA3" w:rsidRDefault="006E3D7F" w:rsidP="00D57DA3">
      <w:pPr>
        <w:adjustRightInd w:val="0"/>
        <w:snapToGrid w:val="0"/>
        <w:spacing w:line="520" w:lineRule="exact"/>
        <w:ind w:firstLineChars="200" w:firstLine="560"/>
        <w:rPr>
          <w:rFonts w:ascii="宋体" w:hAnsi="宋体"/>
          <w:sz w:val="28"/>
          <w:szCs w:val="28"/>
        </w:rPr>
      </w:pPr>
    </w:p>
    <w:p w:rsidR="00726692" w:rsidRPr="00675F83" w:rsidRDefault="00726692" w:rsidP="00C45223">
      <w:pPr>
        <w:adjustRightInd w:val="0"/>
        <w:snapToGrid w:val="0"/>
        <w:spacing w:line="520" w:lineRule="exact"/>
        <w:jc w:val="right"/>
        <w:rPr>
          <w:rFonts w:asciiTheme="minorEastAsia" w:eastAsiaTheme="minorEastAsia" w:hAnsiTheme="minorEastAsia"/>
          <w:sz w:val="28"/>
          <w:szCs w:val="28"/>
        </w:rPr>
      </w:pPr>
      <w:r w:rsidRPr="00675F83">
        <w:rPr>
          <w:rFonts w:asciiTheme="minorEastAsia" w:eastAsiaTheme="minorEastAsia" w:hAnsiTheme="minorEastAsia" w:hint="eastAsia"/>
          <w:sz w:val="28"/>
          <w:szCs w:val="28"/>
        </w:rPr>
        <w:t>二〇二一年十月</w:t>
      </w:r>
    </w:p>
    <w:p w:rsidR="000A57CC" w:rsidRPr="00675F83" w:rsidRDefault="000A57CC" w:rsidP="000A57CC">
      <w:pPr>
        <w:spacing w:line="360" w:lineRule="auto"/>
        <w:jc w:val="left"/>
        <w:rPr>
          <w:rFonts w:ascii="黑体" w:eastAsia="黑体" w:hAnsi="黑体"/>
          <w:b/>
          <w:sz w:val="32"/>
          <w:szCs w:val="32"/>
        </w:rPr>
      </w:pPr>
      <w:r w:rsidRPr="00675F83">
        <w:rPr>
          <w:rFonts w:ascii="黑体" w:eastAsia="黑体" w:hAnsi="黑体" w:hint="eastAsia"/>
          <w:b/>
          <w:sz w:val="32"/>
          <w:szCs w:val="32"/>
        </w:rPr>
        <w:lastRenderedPageBreak/>
        <w:t>附：新法提示</w:t>
      </w:r>
    </w:p>
    <w:p w:rsidR="000A57CC" w:rsidRPr="00675F83" w:rsidRDefault="004222BA" w:rsidP="004222BA">
      <w:pPr>
        <w:adjustRightInd w:val="0"/>
        <w:snapToGrid w:val="0"/>
        <w:spacing w:line="360" w:lineRule="auto"/>
        <w:ind w:firstLineChars="200" w:firstLine="602"/>
        <w:rPr>
          <w:rFonts w:ascii="黑体" w:eastAsia="黑体" w:hAnsi="黑体"/>
          <w:b/>
          <w:sz w:val="30"/>
          <w:szCs w:val="30"/>
        </w:rPr>
      </w:pPr>
      <w:r w:rsidRPr="00675F83">
        <w:rPr>
          <w:rFonts w:ascii="黑体" w:eastAsia="黑体" w:hAnsi="黑体" w:hint="eastAsia"/>
          <w:b/>
          <w:sz w:val="30"/>
          <w:szCs w:val="30"/>
        </w:rPr>
        <w:t>一、</w:t>
      </w:r>
      <w:r w:rsidR="000A57CC" w:rsidRPr="00675F83">
        <w:rPr>
          <w:rFonts w:ascii="黑体" w:eastAsia="黑体" w:hAnsi="黑体" w:hint="eastAsia"/>
          <w:b/>
          <w:sz w:val="30"/>
          <w:szCs w:val="30"/>
        </w:rPr>
        <w:t>意定监护制度</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4536"/>
      </w:tblGrid>
      <w:tr w:rsidR="000A57CC" w:rsidRPr="00675F83" w:rsidTr="00977E83">
        <w:tc>
          <w:tcPr>
            <w:tcW w:w="4361" w:type="dxa"/>
          </w:tcPr>
          <w:p w:rsidR="000A57CC" w:rsidRPr="00675F83" w:rsidRDefault="000A57CC" w:rsidP="0019786B">
            <w:pPr>
              <w:jc w:val="center"/>
              <w:rPr>
                <w:rFonts w:ascii="宋体" w:hAnsi="宋体"/>
                <w:b/>
                <w:sz w:val="30"/>
                <w:szCs w:val="30"/>
              </w:rPr>
            </w:pPr>
            <w:r w:rsidRPr="00675F83">
              <w:rPr>
                <w:rFonts w:ascii="宋体" w:hAnsi="宋体" w:hint="eastAsia"/>
                <w:b/>
                <w:sz w:val="30"/>
                <w:szCs w:val="30"/>
              </w:rPr>
              <w:t>原有规定</w:t>
            </w:r>
          </w:p>
        </w:tc>
        <w:tc>
          <w:tcPr>
            <w:tcW w:w="4536" w:type="dxa"/>
          </w:tcPr>
          <w:p w:rsidR="000A57CC" w:rsidRPr="00675F83" w:rsidRDefault="000A57CC" w:rsidP="0019786B">
            <w:pPr>
              <w:jc w:val="center"/>
              <w:rPr>
                <w:rFonts w:ascii="宋体" w:hAnsi="宋体"/>
                <w:b/>
                <w:sz w:val="30"/>
                <w:szCs w:val="30"/>
              </w:rPr>
            </w:pPr>
            <w:r w:rsidRPr="00675F83">
              <w:rPr>
                <w:rFonts w:ascii="宋体" w:hAnsi="宋体" w:hint="eastAsia"/>
                <w:b/>
                <w:sz w:val="30"/>
                <w:szCs w:val="30"/>
              </w:rPr>
              <w:t>《民法典》</w:t>
            </w:r>
          </w:p>
        </w:tc>
      </w:tr>
      <w:tr w:rsidR="000A57CC" w:rsidRPr="00675F83" w:rsidTr="00977E83">
        <w:trPr>
          <w:trHeight w:val="3410"/>
        </w:trPr>
        <w:tc>
          <w:tcPr>
            <w:tcW w:w="4361" w:type="dxa"/>
          </w:tcPr>
          <w:p w:rsidR="000A57CC" w:rsidRPr="00117446" w:rsidRDefault="000A57CC" w:rsidP="006C3401">
            <w:pPr>
              <w:adjustRightInd w:val="0"/>
              <w:snapToGrid w:val="0"/>
              <w:spacing w:line="536" w:lineRule="exact"/>
              <w:rPr>
                <w:rFonts w:asciiTheme="minorEastAsia" w:eastAsiaTheme="minorEastAsia" w:hAnsiTheme="minorEastAsia"/>
                <w:b/>
                <w:sz w:val="30"/>
                <w:szCs w:val="30"/>
              </w:rPr>
            </w:pPr>
            <w:r w:rsidRPr="00117446">
              <w:rPr>
                <w:rFonts w:asciiTheme="minorEastAsia" w:eastAsiaTheme="minorEastAsia" w:hAnsiTheme="minorEastAsia" w:hint="eastAsia"/>
                <w:b/>
                <w:sz w:val="30"/>
                <w:szCs w:val="30"/>
              </w:rPr>
              <w:t>《老年人权益保障法》</w:t>
            </w:r>
          </w:p>
          <w:p w:rsidR="006E2360" w:rsidRPr="00675F83" w:rsidRDefault="000A57CC" w:rsidP="006C3401">
            <w:pPr>
              <w:adjustRightInd w:val="0"/>
              <w:snapToGrid w:val="0"/>
              <w:spacing w:line="536" w:lineRule="exact"/>
              <w:rPr>
                <w:rFonts w:ascii="宋体" w:hAnsi="宋体"/>
                <w:sz w:val="28"/>
                <w:szCs w:val="28"/>
              </w:rPr>
            </w:pPr>
            <w:r w:rsidRPr="00675F83">
              <w:rPr>
                <w:rFonts w:ascii="宋体" w:hAnsi="宋体" w:hint="eastAsia"/>
                <w:b/>
                <w:sz w:val="28"/>
                <w:szCs w:val="28"/>
              </w:rPr>
              <w:t xml:space="preserve">第二十六条 </w:t>
            </w:r>
            <w:r w:rsidRPr="00675F83">
              <w:rPr>
                <w:rFonts w:ascii="宋体" w:hAnsi="宋体" w:hint="eastAsia"/>
                <w:sz w:val="28"/>
                <w:szCs w:val="28"/>
              </w:rPr>
              <w:t>具备完全民事行为能力的成年人，可以在近亲属或者其他与自己关系密切，愿意承担监护责任的个人，组织中协商确定自己的意定监护人。</w:t>
            </w:r>
          </w:p>
          <w:p w:rsidR="000A57CC" w:rsidRPr="00675F83" w:rsidRDefault="000A57CC" w:rsidP="006C3401">
            <w:pPr>
              <w:adjustRightInd w:val="0"/>
              <w:snapToGrid w:val="0"/>
              <w:spacing w:line="536" w:lineRule="exact"/>
              <w:rPr>
                <w:rFonts w:ascii="宋体" w:hAnsi="宋体"/>
                <w:b/>
                <w:sz w:val="30"/>
                <w:szCs w:val="30"/>
              </w:rPr>
            </w:pPr>
            <w:r w:rsidRPr="00675F83">
              <w:rPr>
                <w:rFonts w:ascii="宋体" w:hAnsi="宋体" w:hint="eastAsia"/>
                <w:sz w:val="28"/>
                <w:szCs w:val="28"/>
              </w:rPr>
              <w:t>监护人在老年人丧失或部分丧失民事行为能力时，依法承担监护责任。老年人未事先确定监护人的，其丧失或部分丧失民事行为能力时，依照有关法律的规定确定监护人。</w:t>
            </w:r>
          </w:p>
        </w:tc>
        <w:tc>
          <w:tcPr>
            <w:tcW w:w="4536" w:type="dxa"/>
          </w:tcPr>
          <w:p w:rsidR="000A57CC" w:rsidRPr="00675F83" w:rsidRDefault="000A57CC" w:rsidP="006C3401">
            <w:pPr>
              <w:spacing w:line="536" w:lineRule="exact"/>
              <w:rPr>
                <w:rFonts w:ascii="宋体" w:hAnsi="宋体"/>
                <w:b/>
                <w:sz w:val="30"/>
                <w:szCs w:val="30"/>
              </w:rPr>
            </w:pPr>
          </w:p>
          <w:p w:rsidR="000A57CC" w:rsidRPr="00675F83" w:rsidRDefault="000A57CC" w:rsidP="006C3401">
            <w:pPr>
              <w:adjustRightInd w:val="0"/>
              <w:snapToGrid w:val="0"/>
              <w:spacing w:line="536" w:lineRule="exact"/>
              <w:rPr>
                <w:rFonts w:ascii="宋体" w:hAnsi="宋体"/>
                <w:sz w:val="28"/>
                <w:szCs w:val="28"/>
              </w:rPr>
            </w:pPr>
            <w:r w:rsidRPr="00675F83">
              <w:rPr>
                <w:rFonts w:ascii="宋体" w:hAnsi="宋体" w:hint="eastAsia"/>
                <w:b/>
                <w:sz w:val="28"/>
                <w:szCs w:val="28"/>
              </w:rPr>
              <w:t>第三十三条</w:t>
            </w:r>
            <w:r w:rsidRPr="00675F83">
              <w:rPr>
                <w:rFonts w:ascii="宋体" w:hAnsi="宋体" w:hint="eastAsia"/>
                <w:sz w:val="28"/>
                <w:szCs w:val="28"/>
              </w:rPr>
              <w:t xml:space="preserve"> 具有完全行为能力的成年人，可以与其近亲属、其他愿意担任监护人的个人或组织事先协商，以书面形式确定自己的监护人，在自己丧失或者部分丧失民事行为能力时，由该监护人履行监护职责。</w:t>
            </w:r>
          </w:p>
        </w:tc>
      </w:tr>
      <w:tr w:rsidR="000A57CC" w:rsidRPr="00675F83" w:rsidTr="00977E83">
        <w:trPr>
          <w:trHeight w:val="3410"/>
        </w:trPr>
        <w:tc>
          <w:tcPr>
            <w:tcW w:w="8897" w:type="dxa"/>
            <w:gridSpan w:val="2"/>
          </w:tcPr>
          <w:p w:rsidR="000A57CC" w:rsidRPr="00675F83" w:rsidRDefault="000A57CC" w:rsidP="006C340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新法提示：</w:t>
            </w:r>
          </w:p>
          <w:p w:rsidR="000A57CC" w:rsidRPr="00675F83" w:rsidRDefault="000A57CC" w:rsidP="006C3401">
            <w:pPr>
              <w:adjustRightInd w:val="0"/>
              <w:snapToGrid w:val="0"/>
              <w:spacing w:line="536" w:lineRule="exact"/>
              <w:ind w:firstLine="540"/>
              <w:rPr>
                <w:rFonts w:ascii="宋体" w:hAnsi="宋体"/>
                <w:sz w:val="28"/>
                <w:szCs w:val="28"/>
              </w:rPr>
            </w:pPr>
            <w:r w:rsidRPr="00675F83">
              <w:rPr>
                <w:rFonts w:ascii="宋体" w:hAnsi="宋体" w:hint="eastAsia"/>
                <w:sz w:val="28"/>
                <w:szCs w:val="28"/>
              </w:rPr>
              <w:t>《民法典》在《老年人权益保障法》的基础上，确定了意定监护制度，对老年监护制度形成有益补充。意定监护，是指具有完全行为能力的老年人，与其近亲属、其他愿意担任监护人的个人或组织事先协商，以书面形式确定自己的监护人，待到老年人丧失或部分丧失民事行为能力时，履行监护职责。意定监护是自愿原则在老年监护领域的贯彻落实，其更加尊重老年人的自我决定权，鼓励老年人主动积极参与自己未来的生活规划。老年人应当充分利用好意定监护制度，维护自身合法权益，确保老有所养、老有所依。</w:t>
            </w:r>
          </w:p>
          <w:p w:rsidR="000A57CC" w:rsidRPr="00675F83" w:rsidRDefault="000A57CC" w:rsidP="006C3401">
            <w:pPr>
              <w:adjustRightInd w:val="0"/>
              <w:snapToGrid w:val="0"/>
              <w:spacing w:line="536" w:lineRule="exact"/>
              <w:ind w:firstLine="540"/>
              <w:rPr>
                <w:rFonts w:ascii="宋体" w:hAnsi="宋体"/>
                <w:sz w:val="28"/>
                <w:szCs w:val="28"/>
              </w:rPr>
            </w:pPr>
            <w:r w:rsidRPr="00675F83">
              <w:rPr>
                <w:rFonts w:ascii="宋体" w:hAnsi="宋体" w:hint="eastAsia"/>
                <w:sz w:val="28"/>
                <w:szCs w:val="28"/>
              </w:rPr>
              <w:t>在意定监护制度运行中，以下几个方面值得关注：</w:t>
            </w:r>
          </w:p>
          <w:p w:rsidR="000A57CC" w:rsidRPr="00675F83" w:rsidRDefault="00846645" w:rsidP="006C3401">
            <w:pPr>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lastRenderedPageBreak/>
              <w:t>一是</w:t>
            </w:r>
            <w:r w:rsidR="000A57CC" w:rsidRPr="00675F83">
              <w:rPr>
                <w:rFonts w:ascii="宋体" w:hAnsi="宋体" w:hint="eastAsia"/>
                <w:sz w:val="28"/>
                <w:szCs w:val="28"/>
              </w:rPr>
              <w:t>意定监护人并非继承人，老年人与意定监护人应在协议中约定监护职责的具体行使问题，老年人的</w:t>
            </w:r>
            <w:r w:rsidR="00EF2C76" w:rsidRPr="00117446">
              <w:rPr>
                <w:rFonts w:ascii="宋体" w:hAnsi="宋体" w:hint="eastAsia"/>
                <w:sz w:val="28"/>
                <w:szCs w:val="28"/>
              </w:rPr>
              <w:t>继承人</w:t>
            </w:r>
            <w:r w:rsidR="00B7472A" w:rsidRPr="00675F83">
              <w:rPr>
                <w:rFonts w:ascii="宋体" w:hAnsi="宋体" w:hint="eastAsia"/>
                <w:sz w:val="28"/>
                <w:szCs w:val="28"/>
              </w:rPr>
              <w:t>的</w:t>
            </w:r>
            <w:r w:rsidR="000A57CC" w:rsidRPr="00675F83">
              <w:rPr>
                <w:rFonts w:ascii="宋体" w:hAnsi="宋体" w:hint="eastAsia"/>
                <w:sz w:val="28"/>
                <w:szCs w:val="28"/>
              </w:rPr>
              <w:t>继承权不会仅因意定监护的约定而受到影响。</w:t>
            </w:r>
          </w:p>
          <w:p w:rsidR="000A57CC" w:rsidRPr="00675F83" w:rsidRDefault="00846645" w:rsidP="006C3401">
            <w:pPr>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二是</w:t>
            </w:r>
            <w:r w:rsidR="000A57CC" w:rsidRPr="00675F83">
              <w:rPr>
                <w:rFonts w:ascii="宋体" w:hAnsi="宋体" w:hint="eastAsia"/>
                <w:sz w:val="28"/>
                <w:szCs w:val="28"/>
              </w:rPr>
              <w:t>虽然老年人有实现选定意定监护人的权利，但并不因此免除其子女的赡养义务，老年人的子女仍应当履行对老年人经济上供养、生活上照料和精神上慰藉的义务。</w:t>
            </w:r>
          </w:p>
          <w:p w:rsidR="000A57CC" w:rsidRPr="00675F83" w:rsidRDefault="00846645" w:rsidP="006C3401">
            <w:pPr>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三是</w:t>
            </w:r>
            <w:r w:rsidR="000A57CC" w:rsidRPr="00675F83">
              <w:rPr>
                <w:rFonts w:ascii="宋体" w:hAnsi="宋体" w:hint="eastAsia"/>
                <w:sz w:val="28"/>
                <w:szCs w:val="28"/>
              </w:rPr>
              <w:t>意定监护人同样适用《民法典》规定的撤销监护人资格的三类法定情形，即实施严重损害被监护人身心健康的行为；怠于或者无法履行监护职责且拒绝将监护职责委托给他人，导致被监护人处于危困状态；实施严重侵害被监护人合法权益的其他行为。根据有关个人或组织的申请，法院查证确属上述法定情形的，应当依法撤销该意定监护人的监护资格，并按照最有利于被监护人的原则另行指定监护人。</w:t>
            </w:r>
          </w:p>
          <w:p w:rsidR="000A57CC" w:rsidRPr="00675F83" w:rsidRDefault="000A57CC" w:rsidP="006C3401">
            <w:pPr>
              <w:adjustRightInd w:val="0"/>
              <w:snapToGrid w:val="0"/>
              <w:spacing w:line="536" w:lineRule="exact"/>
              <w:rPr>
                <w:rFonts w:ascii="宋体" w:hAnsi="宋体"/>
                <w:b/>
                <w:sz w:val="30"/>
                <w:szCs w:val="30"/>
              </w:rPr>
            </w:pPr>
            <w:r w:rsidRPr="00675F83">
              <w:rPr>
                <w:rFonts w:ascii="宋体" w:hAnsi="宋体" w:hint="eastAsia"/>
                <w:b/>
                <w:sz w:val="28"/>
                <w:szCs w:val="28"/>
              </w:rPr>
              <w:t xml:space="preserve">    </w:t>
            </w:r>
            <w:r w:rsidR="00846645" w:rsidRPr="00675F83">
              <w:rPr>
                <w:rFonts w:ascii="宋体" w:hAnsi="宋体" w:hint="eastAsia"/>
                <w:sz w:val="28"/>
                <w:szCs w:val="28"/>
              </w:rPr>
              <w:t>四是</w:t>
            </w:r>
            <w:r w:rsidRPr="00675F83">
              <w:rPr>
                <w:rFonts w:ascii="宋体" w:hAnsi="宋体" w:hint="eastAsia"/>
                <w:sz w:val="28"/>
                <w:szCs w:val="28"/>
              </w:rPr>
              <w:t>建议老年人与自己选定的个人或组织至公证机构签订意定监护协议。法律虽并未规定意定监护协议必须经过公证，但在意定监护条件实现时，被监护人已经丧失或部分丧失行为能力，如意定监护协议已经公证，则更易确认其真实性、合法性，可从源头上减少监护纠纷的产生。</w:t>
            </w:r>
          </w:p>
        </w:tc>
      </w:tr>
    </w:tbl>
    <w:p w:rsidR="000A57CC" w:rsidRPr="00977E83" w:rsidRDefault="000A57CC" w:rsidP="000A57CC">
      <w:pPr>
        <w:widowControl/>
        <w:jc w:val="left"/>
        <w:rPr>
          <w:rFonts w:ascii="楷体" w:eastAsia="楷体" w:hAnsi="楷体"/>
          <w:b/>
          <w:sz w:val="30"/>
          <w:szCs w:val="30"/>
        </w:rPr>
      </w:pPr>
    </w:p>
    <w:p w:rsidR="000A57CC" w:rsidRPr="00675F83" w:rsidRDefault="004222BA" w:rsidP="004222BA">
      <w:pPr>
        <w:widowControl/>
        <w:adjustRightInd w:val="0"/>
        <w:snapToGrid w:val="0"/>
        <w:spacing w:line="360" w:lineRule="auto"/>
        <w:ind w:firstLineChars="200" w:firstLine="602"/>
        <w:jc w:val="left"/>
        <w:rPr>
          <w:rFonts w:ascii="黑体" w:eastAsia="黑体" w:hAnsi="黑体"/>
          <w:b/>
          <w:sz w:val="30"/>
          <w:szCs w:val="30"/>
        </w:rPr>
      </w:pPr>
      <w:r w:rsidRPr="00675F83">
        <w:rPr>
          <w:rFonts w:ascii="黑体" w:eastAsia="黑体" w:hAnsi="黑体" w:hint="eastAsia"/>
          <w:b/>
          <w:sz w:val="30"/>
          <w:szCs w:val="30"/>
        </w:rPr>
        <w:t>二、</w:t>
      </w:r>
      <w:r w:rsidR="000A57CC" w:rsidRPr="00675F83">
        <w:rPr>
          <w:rFonts w:ascii="黑体" w:eastAsia="黑体" w:hAnsi="黑体" w:hint="eastAsia"/>
          <w:b/>
          <w:sz w:val="30"/>
          <w:szCs w:val="30"/>
        </w:rPr>
        <w:t>居住权制度</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4"/>
        <w:gridCol w:w="4633"/>
      </w:tblGrid>
      <w:tr w:rsidR="000A57CC" w:rsidRPr="00675F83" w:rsidTr="009407A4">
        <w:tc>
          <w:tcPr>
            <w:tcW w:w="4264" w:type="dxa"/>
            <w:tcBorders>
              <w:bottom w:val="single" w:sz="4" w:space="0" w:color="000000"/>
            </w:tcBorders>
          </w:tcPr>
          <w:p w:rsidR="000A57CC" w:rsidRPr="00675F83" w:rsidRDefault="000A57CC" w:rsidP="0019786B">
            <w:pPr>
              <w:jc w:val="center"/>
              <w:rPr>
                <w:rFonts w:ascii="宋体" w:hAnsi="宋体"/>
                <w:b/>
                <w:sz w:val="30"/>
                <w:szCs w:val="30"/>
              </w:rPr>
            </w:pPr>
            <w:r w:rsidRPr="00675F83">
              <w:rPr>
                <w:rFonts w:ascii="宋体" w:hAnsi="宋体" w:hint="eastAsia"/>
                <w:b/>
                <w:sz w:val="30"/>
                <w:szCs w:val="30"/>
              </w:rPr>
              <w:t>原有规定</w:t>
            </w:r>
          </w:p>
        </w:tc>
        <w:tc>
          <w:tcPr>
            <w:tcW w:w="4633" w:type="dxa"/>
            <w:tcBorders>
              <w:bottom w:val="single" w:sz="4" w:space="0" w:color="000000"/>
            </w:tcBorders>
          </w:tcPr>
          <w:p w:rsidR="000A57CC" w:rsidRPr="00675F83" w:rsidRDefault="000A57CC" w:rsidP="0019786B">
            <w:pPr>
              <w:jc w:val="center"/>
              <w:rPr>
                <w:rFonts w:ascii="宋体" w:hAnsi="宋体"/>
                <w:b/>
                <w:sz w:val="30"/>
                <w:szCs w:val="30"/>
              </w:rPr>
            </w:pPr>
            <w:r w:rsidRPr="00675F83">
              <w:rPr>
                <w:rFonts w:ascii="宋体" w:hAnsi="宋体" w:hint="eastAsia"/>
                <w:b/>
                <w:sz w:val="30"/>
                <w:szCs w:val="30"/>
              </w:rPr>
              <w:t>《民法典》</w:t>
            </w:r>
          </w:p>
        </w:tc>
      </w:tr>
      <w:tr w:rsidR="000A57CC" w:rsidRPr="00675F83" w:rsidTr="009407A4">
        <w:trPr>
          <w:trHeight w:val="2259"/>
        </w:trPr>
        <w:tc>
          <w:tcPr>
            <w:tcW w:w="4264" w:type="dxa"/>
          </w:tcPr>
          <w:p w:rsidR="000A57CC" w:rsidRPr="00117446" w:rsidRDefault="004222BA" w:rsidP="00963517">
            <w:pPr>
              <w:suppressAutoHyphens/>
              <w:autoSpaceDE w:val="0"/>
              <w:autoSpaceDN w:val="0"/>
              <w:adjustRightInd w:val="0"/>
              <w:snapToGrid w:val="0"/>
              <w:spacing w:line="536" w:lineRule="exact"/>
              <w:rPr>
                <w:rFonts w:asciiTheme="minorEastAsia" w:eastAsiaTheme="minorEastAsia" w:hAnsiTheme="minorEastAsia"/>
                <w:sz w:val="30"/>
                <w:szCs w:val="30"/>
              </w:rPr>
            </w:pPr>
            <w:r w:rsidRPr="00117446">
              <w:rPr>
                <w:rFonts w:asciiTheme="minorEastAsia" w:eastAsiaTheme="minorEastAsia" w:hAnsiTheme="minorEastAsia" w:hint="eastAsia"/>
                <w:b/>
                <w:sz w:val="30"/>
                <w:szCs w:val="30"/>
              </w:rPr>
              <w:t>（一）</w:t>
            </w:r>
            <w:r w:rsidR="000A57CC" w:rsidRPr="00117446">
              <w:rPr>
                <w:rFonts w:asciiTheme="minorEastAsia" w:eastAsiaTheme="minorEastAsia" w:hAnsiTheme="minorEastAsia" w:hint="eastAsia"/>
                <w:b/>
                <w:sz w:val="30"/>
                <w:szCs w:val="30"/>
              </w:rPr>
              <w:t>《物权法》</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sz w:val="28"/>
                <w:szCs w:val="28"/>
              </w:rPr>
              <w:t>第三十三条</w:t>
            </w:r>
            <w:r w:rsidRPr="00675F83">
              <w:rPr>
                <w:rFonts w:ascii="宋体" w:hAnsi="宋体"/>
                <w:sz w:val="28"/>
                <w:szCs w:val="28"/>
              </w:rPr>
              <w:t xml:space="preserve"> 因物权的归属、内容发生争议的，利害关系人可以请求确认权利。</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sz w:val="28"/>
                <w:szCs w:val="28"/>
              </w:rPr>
              <w:t>第三十五条</w:t>
            </w:r>
            <w:r w:rsidRPr="00675F83">
              <w:rPr>
                <w:rFonts w:ascii="宋体" w:hAnsi="宋体"/>
                <w:sz w:val="28"/>
                <w:szCs w:val="28"/>
              </w:rPr>
              <w:t xml:space="preserve"> 妨害物权或者可能</w:t>
            </w:r>
            <w:r w:rsidRPr="00675F83">
              <w:rPr>
                <w:rFonts w:ascii="宋体" w:hAnsi="宋体"/>
                <w:sz w:val="28"/>
                <w:szCs w:val="28"/>
              </w:rPr>
              <w:lastRenderedPageBreak/>
              <w:t>妨害物权的，权利人可以请求排除妨害或者消除危险。</w:t>
            </w:r>
          </w:p>
          <w:p w:rsidR="000A57CC" w:rsidRPr="00117446" w:rsidRDefault="00DF0692" w:rsidP="00963517">
            <w:pPr>
              <w:suppressAutoHyphens/>
              <w:autoSpaceDE w:val="0"/>
              <w:autoSpaceDN w:val="0"/>
              <w:adjustRightInd w:val="0"/>
              <w:snapToGrid w:val="0"/>
              <w:spacing w:line="536" w:lineRule="exact"/>
              <w:rPr>
                <w:rFonts w:asciiTheme="minorEastAsia" w:eastAsiaTheme="minorEastAsia" w:hAnsiTheme="minorEastAsia"/>
                <w:b/>
                <w:sz w:val="30"/>
                <w:szCs w:val="30"/>
              </w:rPr>
            </w:pPr>
            <w:r w:rsidRPr="00117446">
              <w:rPr>
                <w:rFonts w:asciiTheme="minorEastAsia" w:eastAsiaTheme="minorEastAsia" w:hAnsiTheme="minorEastAsia" w:hint="eastAsia"/>
                <w:b/>
                <w:sz w:val="30"/>
                <w:szCs w:val="30"/>
              </w:rPr>
              <w:t>（二）</w:t>
            </w:r>
            <w:r w:rsidR="000A57CC" w:rsidRPr="00117446">
              <w:rPr>
                <w:rFonts w:asciiTheme="minorEastAsia" w:eastAsiaTheme="minorEastAsia" w:hAnsiTheme="minorEastAsia" w:hint="eastAsia"/>
                <w:b/>
                <w:sz w:val="30"/>
                <w:szCs w:val="30"/>
              </w:rPr>
              <w:t>《</w:t>
            </w:r>
            <w:r w:rsidR="000A57CC" w:rsidRPr="00117446">
              <w:rPr>
                <w:rFonts w:asciiTheme="minorEastAsia" w:eastAsiaTheme="minorEastAsia" w:hAnsiTheme="minorEastAsia"/>
                <w:b/>
                <w:sz w:val="30"/>
                <w:szCs w:val="30"/>
              </w:rPr>
              <w:t>老年人权益保障法</w:t>
            </w:r>
            <w:r w:rsidR="000A57CC" w:rsidRPr="00117446">
              <w:rPr>
                <w:rFonts w:asciiTheme="minorEastAsia" w:eastAsiaTheme="minorEastAsia" w:hAnsiTheme="minorEastAsia" w:hint="eastAsia"/>
                <w:b/>
                <w:sz w:val="30"/>
                <w:szCs w:val="30"/>
              </w:rPr>
              <w:t>》</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sz w:val="28"/>
                <w:szCs w:val="28"/>
              </w:rPr>
              <w:t>第十六条</w:t>
            </w:r>
            <w:r w:rsidRPr="00675F83">
              <w:rPr>
                <w:rFonts w:ascii="宋体" w:hAnsi="宋体" w:hint="eastAsia"/>
                <w:sz w:val="28"/>
                <w:szCs w:val="28"/>
              </w:rPr>
              <w:t xml:space="preserve"> </w:t>
            </w:r>
            <w:r w:rsidRPr="00675F83">
              <w:rPr>
                <w:rFonts w:ascii="宋体" w:hAnsi="宋体"/>
                <w:sz w:val="28"/>
                <w:szCs w:val="28"/>
              </w:rPr>
              <w:t>赡养人应当妥善安排老年人的住房，不得强迫老年人居住或者迁居条件低劣的房屋。</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sz w:val="28"/>
                <w:szCs w:val="28"/>
              </w:rPr>
              <w:t>老年人自有的或者承租的住房，子女或者其他亲属不得侵占，不得擅自改变产权关系或者租赁关系。</w:t>
            </w:r>
          </w:p>
          <w:p w:rsidR="000A57CC" w:rsidRPr="00117446" w:rsidRDefault="00DF0692" w:rsidP="00963517">
            <w:pPr>
              <w:suppressAutoHyphens/>
              <w:autoSpaceDE w:val="0"/>
              <w:autoSpaceDN w:val="0"/>
              <w:adjustRightInd w:val="0"/>
              <w:snapToGrid w:val="0"/>
              <w:spacing w:line="536" w:lineRule="exact"/>
              <w:rPr>
                <w:rFonts w:asciiTheme="minorEastAsia" w:eastAsiaTheme="minorEastAsia" w:hAnsiTheme="minorEastAsia"/>
                <w:sz w:val="30"/>
                <w:szCs w:val="30"/>
              </w:rPr>
            </w:pPr>
            <w:r w:rsidRPr="00117446">
              <w:rPr>
                <w:rFonts w:asciiTheme="minorEastAsia" w:eastAsiaTheme="minorEastAsia" w:hAnsiTheme="minorEastAsia" w:hint="eastAsia"/>
                <w:b/>
                <w:sz w:val="30"/>
                <w:szCs w:val="30"/>
              </w:rPr>
              <w:t>（三）</w:t>
            </w:r>
            <w:r w:rsidR="000A57CC" w:rsidRPr="00117446">
              <w:rPr>
                <w:rFonts w:asciiTheme="minorEastAsia" w:eastAsiaTheme="minorEastAsia" w:hAnsiTheme="minorEastAsia" w:hint="eastAsia"/>
                <w:b/>
                <w:sz w:val="30"/>
                <w:szCs w:val="30"/>
              </w:rPr>
              <w:t>《婚姻法》</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sz w:val="28"/>
                <w:szCs w:val="28"/>
              </w:rPr>
              <w:t>第四十二条</w:t>
            </w:r>
            <w:r w:rsidRPr="00675F83">
              <w:rPr>
                <w:rFonts w:ascii="宋体" w:hAnsi="宋体" w:hint="eastAsia"/>
                <w:sz w:val="28"/>
                <w:szCs w:val="28"/>
              </w:rPr>
              <w:t xml:space="preserve"> </w:t>
            </w:r>
            <w:r w:rsidRPr="00675F83">
              <w:rPr>
                <w:rFonts w:ascii="宋体" w:hAnsi="宋体"/>
                <w:sz w:val="28"/>
                <w:szCs w:val="28"/>
              </w:rPr>
              <w:t>离婚时，如一方生活困难，另一方应从其住房等个人财产中给予适当帮助。具体办法由双方协议；协议不成时，由人民法院判决。</w:t>
            </w:r>
          </w:p>
          <w:p w:rsidR="000A57CC" w:rsidRPr="00117446" w:rsidRDefault="00DF0692" w:rsidP="00963517">
            <w:pPr>
              <w:suppressAutoHyphens/>
              <w:autoSpaceDE w:val="0"/>
              <w:autoSpaceDN w:val="0"/>
              <w:adjustRightInd w:val="0"/>
              <w:snapToGrid w:val="0"/>
              <w:spacing w:line="536" w:lineRule="exact"/>
              <w:rPr>
                <w:rFonts w:asciiTheme="minorEastAsia" w:eastAsiaTheme="minorEastAsia" w:hAnsiTheme="minorEastAsia"/>
                <w:b/>
                <w:sz w:val="30"/>
                <w:szCs w:val="30"/>
              </w:rPr>
            </w:pPr>
            <w:r w:rsidRPr="00117446">
              <w:rPr>
                <w:rFonts w:asciiTheme="minorEastAsia" w:eastAsiaTheme="minorEastAsia" w:hAnsiTheme="minorEastAsia" w:hint="eastAsia"/>
                <w:b/>
                <w:sz w:val="30"/>
                <w:szCs w:val="30"/>
              </w:rPr>
              <w:t>（四）</w:t>
            </w:r>
            <w:r w:rsidR="000A57CC" w:rsidRPr="00117446">
              <w:rPr>
                <w:rFonts w:asciiTheme="minorEastAsia" w:eastAsiaTheme="minorEastAsia" w:hAnsiTheme="minorEastAsia" w:hint="eastAsia"/>
                <w:b/>
                <w:sz w:val="30"/>
                <w:szCs w:val="30"/>
              </w:rPr>
              <w:t>《关于适用婚姻法若干问题的解释（一）》</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hint="eastAsia"/>
                <w:b/>
                <w:sz w:val="28"/>
                <w:szCs w:val="28"/>
              </w:rPr>
              <w:t>第二十七条</w:t>
            </w:r>
            <w:r w:rsidRPr="00675F83">
              <w:rPr>
                <w:rFonts w:ascii="宋体" w:hAnsi="宋体" w:hint="eastAsia"/>
                <w:sz w:val="28"/>
                <w:szCs w:val="28"/>
              </w:rPr>
              <w:t xml:space="preserve"> </w:t>
            </w:r>
            <w:r w:rsidRPr="00675F83">
              <w:rPr>
                <w:rFonts w:ascii="宋体" w:hAnsi="宋体"/>
                <w:sz w:val="28"/>
                <w:szCs w:val="28"/>
              </w:rPr>
              <w:t>婚姻法第四十二条所称“一方生活困难”，是指依靠个人财产和离婚时分得的财产无法维持当地基本生活水平。</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sz w:val="28"/>
                <w:szCs w:val="28"/>
              </w:rPr>
              <w:t>一方离婚后没有住处的，属于生活困难。</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sz w:val="28"/>
                <w:szCs w:val="28"/>
              </w:rPr>
              <w:t>离婚时，一方以个人财产中的住房对生活困难者进行帮助的形</w:t>
            </w:r>
            <w:r w:rsidRPr="00675F83">
              <w:rPr>
                <w:rFonts w:ascii="宋体" w:hAnsi="宋体"/>
                <w:sz w:val="28"/>
                <w:szCs w:val="28"/>
              </w:rPr>
              <w:lastRenderedPageBreak/>
              <w:t>式，可以是房屋的居住权或者房屋的所有权。</w:t>
            </w:r>
          </w:p>
        </w:tc>
        <w:tc>
          <w:tcPr>
            <w:tcW w:w="4633" w:type="dxa"/>
          </w:tcPr>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bCs/>
                <w:sz w:val="28"/>
                <w:szCs w:val="28"/>
              </w:rPr>
              <w:lastRenderedPageBreak/>
              <w:t>第三百六十六条</w:t>
            </w:r>
            <w:r w:rsidRPr="00675F83">
              <w:rPr>
                <w:rFonts w:ascii="宋体" w:hAnsi="宋体" w:cs="Calibri" w:hint="eastAsia"/>
                <w:sz w:val="28"/>
                <w:szCs w:val="28"/>
              </w:rPr>
              <w:t xml:space="preserve"> </w:t>
            </w:r>
            <w:r w:rsidRPr="00675F83">
              <w:rPr>
                <w:rFonts w:ascii="宋体" w:hAnsi="宋体"/>
                <w:sz w:val="28"/>
                <w:szCs w:val="28"/>
              </w:rPr>
              <w:t>居住权人有权按照合同约定，对他人的住宅享有占有、使用的用益物权，以满足生活居住的需要</w:t>
            </w:r>
            <w:r w:rsidRPr="00675F83">
              <w:rPr>
                <w:rFonts w:ascii="宋体" w:hAnsi="宋体" w:hint="eastAsia"/>
                <w:sz w:val="28"/>
                <w:szCs w:val="28"/>
              </w:rPr>
              <w:t>。</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bCs/>
                <w:sz w:val="28"/>
                <w:szCs w:val="28"/>
              </w:rPr>
              <w:t>第三百六十七条</w:t>
            </w:r>
            <w:r w:rsidRPr="00675F83">
              <w:rPr>
                <w:rFonts w:ascii="宋体" w:hAnsi="宋体" w:cs="Calibri" w:hint="eastAsia"/>
                <w:sz w:val="28"/>
                <w:szCs w:val="28"/>
              </w:rPr>
              <w:t xml:space="preserve"> </w:t>
            </w:r>
            <w:r w:rsidRPr="00675F83">
              <w:rPr>
                <w:rFonts w:ascii="宋体" w:hAnsi="宋体"/>
                <w:sz w:val="28"/>
                <w:szCs w:val="28"/>
              </w:rPr>
              <w:t>设立居住权，当事</w:t>
            </w:r>
            <w:r w:rsidRPr="00675F83">
              <w:rPr>
                <w:rFonts w:ascii="宋体" w:hAnsi="宋体"/>
                <w:sz w:val="28"/>
                <w:szCs w:val="28"/>
              </w:rPr>
              <w:lastRenderedPageBreak/>
              <w:t>人应当采用书面形式订立居住权合同。</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sz w:val="28"/>
                <w:szCs w:val="28"/>
              </w:rPr>
              <w:t>居住权合同一般包括下列条款：</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sz w:val="28"/>
                <w:szCs w:val="28"/>
              </w:rPr>
              <w:t>（一）当事人的姓名或者名称和住所；</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sz w:val="28"/>
                <w:szCs w:val="28"/>
              </w:rPr>
              <w:t>（二）住宅的位置；</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sz w:val="28"/>
                <w:szCs w:val="28"/>
              </w:rPr>
              <w:t>（三）居住的条件和要求；</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sz w:val="28"/>
                <w:szCs w:val="28"/>
              </w:rPr>
              <w:t>（四）居住权期限；</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sz w:val="28"/>
                <w:szCs w:val="28"/>
              </w:rPr>
              <w:t>（五）解决争议的方法。</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bCs/>
                <w:sz w:val="28"/>
                <w:szCs w:val="28"/>
              </w:rPr>
              <w:t>第三百六十八条</w:t>
            </w:r>
            <w:r w:rsidRPr="00675F83">
              <w:rPr>
                <w:rFonts w:ascii="宋体" w:hAnsi="宋体" w:cs="Calibri" w:hint="eastAsia"/>
                <w:sz w:val="28"/>
                <w:szCs w:val="28"/>
              </w:rPr>
              <w:t xml:space="preserve"> </w:t>
            </w:r>
            <w:r w:rsidRPr="00675F83">
              <w:rPr>
                <w:rFonts w:ascii="宋体" w:hAnsi="宋体"/>
                <w:sz w:val="28"/>
                <w:szCs w:val="28"/>
              </w:rPr>
              <w:t>居住权无偿设立，但是当事人另有约定的除外。设立居住权的，应当向登记机构申请居住权登记。居住权自登记时设立。</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bCs/>
                <w:sz w:val="28"/>
                <w:szCs w:val="28"/>
              </w:rPr>
              <w:t>第三百六十九条</w:t>
            </w:r>
            <w:r w:rsidRPr="00675F83">
              <w:rPr>
                <w:rFonts w:ascii="宋体" w:hAnsi="宋体" w:cs="Calibri" w:hint="eastAsia"/>
                <w:sz w:val="28"/>
                <w:szCs w:val="28"/>
              </w:rPr>
              <w:t xml:space="preserve"> </w:t>
            </w:r>
            <w:r w:rsidRPr="00675F83">
              <w:rPr>
                <w:rFonts w:ascii="宋体" w:hAnsi="宋体"/>
                <w:sz w:val="28"/>
                <w:szCs w:val="28"/>
              </w:rPr>
              <w:t>居住权不得转让、继承。设立居住权的住宅不得出租，但是当事人另有约定的除外。</w:t>
            </w:r>
          </w:p>
          <w:p w:rsidR="00963517"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bCs/>
                <w:sz w:val="28"/>
                <w:szCs w:val="28"/>
              </w:rPr>
              <w:t>第三百七十条</w:t>
            </w:r>
            <w:r w:rsidRPr="00675F83">
              <w:rPr>
                <w:rFonts w:ascii="宋体" w:hAnsi="宋体" w:cs="Calibri" w:hint="eastAsia"/>
                <w:sz w:val="28"/>
                <w:szCs w:val="28"/>
              </w:rPr>
              <w:t xml:space="preserve"> </w:t>
            </w:r>
            <w:r w:rsidRPr="00675F83">
              <w:rPr>
                <w:rFonts w:ascii="宋体" w:hAnsi="宋体"/>
                <w:sz w:val="28"/>
                <w:szCs w:val="28"/>
              </w:rPr>
              <w:t>居住权期限届满或者居住权人死亡的，居住权消灭。居住权消灭的，应当及时办</w:t>
            </w:r>
          </w:p>
          <w:p w:rsidR="00963517"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sz w:val="28"/>
                <w:szCs w:val="28"/>
              </w:rPr>
              <w:t>理注销登记。</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bCs/>
                <w:sz w:val="28"/>
                <w:szCs w:val="28"/>
              </w:rPr>
              <w:t>第三百七十一条</w:t>
            </w:r>
            <w:r w:rsidRPr="00675F83">
              <w:rPr>
                <w:rFonts w:ascii="宋体" w:hAnsi="宋体" w:cs="Calibri" w:hint="eastAsia"/>
                <w:sz w:val="28"/>
                <w:szCs w:val="28"/>
              </w:rPr>
              <w:t xml:space="preserve"> </w:t>
            </w:r>
            <w:r w:rsidRPr="00675F83">
              <w:rPr>
                <w:rFonts w:ascii="宋体" w:hAnsi="宋体"/>
                <w:sz w:val="28"/>
                <w:szCs w:val="28"/>
              </w:rPr>
              <w:t>以遗嘱方式设立居住权的，参照适用本章的有关规定。</w:t>
            </w:r>
          </w:p>
        </w:tc>
      </w:tr>
      <w:tr w:rsidR="000A57CC" w:rsidRPr="00675F83" w:rsidTr="009407A4">
        <w:tc>
          <w:tcPr>
            <w:tcW w:w="8897" w:type="dxa"/>
            <w:gridSpan w:val="2"/>
          </w:tcPr>
          <w:p w:rsidR="000A57CC" w:rsidRPr="00675F83" w:rsidRDefault="000A57CC" w:rsidP="00963517">
            <w:pPr>
              <w:suppressAutoHyphens/>
              <w:autoSpaceDE w:val="0"/>
              <w:autoSpaceDN w:val="0"/>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lastRenderedPageBreak/>
              <w:t>新法提示：</w:t>
            </w:r>
          </w:p>
          <w:p w:rsidR="000A57CC" w:rsidRPr="00675F83" w:rsidRDefault="000A57CC" w:rsidP="00963517">
            <w:pPr>
              <w:suppressAutoHyphens/>
              <w:autoSpaceDE w:val="0"/>
              <w:autoSpaceDN w:val="0"/>
              <w:adjustRightInd w:val="0"/>
              <w:snapToGrid w:val="0"/>
              <w:spacing w:line="536" w:lineRule="exact"/>
              <w:ind w:firstLineChars="200" w:firstLine="560"/>
              <w:rPr>
                <w:rFonts w:ascii="宋体" w:hAnsi="宋体"/>
                <w:sz w:val="28"/>
                <w:szCs w:val="28"/>
              </w:rPr>
            </w:pPr>
            <w:r w:rsidRPr="00675F83">
              <w:rPr>
                <w:rFonts w:ascii="宋体" w:hAnsi="宋体"/>
                <w:sz w:val="28"/>
                <w:szCs w:val="28"/>
              </w:rPr>
              <w:t>居住权</w:t>
            </w:r>
            <w:r w:rsidRPr="00675F83">
              <w:rPr>
                <w:rFonts w:ascii="宋体" w:hAnsi="宋体" w:hint="eastAsia"/>
                <w:sz w:val="28"/>
                <w:szCs w:val="28"/>
              </w:rPr>
              <w:t>是指为</w:t>
            </w:r>
            <w:r w:rsidRPr="00675F83">
              <w:rPr>
                <w:rFonts w:ascii="宋体" w:hAnsi="宋体"/>
                <w:sz w:val="28"/>
                <w:szCs w:val="28"/>
              </w:rPr>
              <w:t>满足生活居住的需要</w:t>
            </w:r>
            <w:r w:rsidRPr="00675F83">
              <w:rPr>
                <w:rFonts w:ascii="宋体" w:hAnsi="宋体" w:hint="eastAsia"/>
                <w:sz w:val="28"/>
                <w:szCs w:val="28"/>
              </w:rPr>
              <w:t>，对他人</w:t>
            </w:r>
            <w:r w:rsidRPr="00675F83">
              <w:rPr>
                <w:rFonts w:ascii="宋体" w:hAnsi="宋体"/>
                <w:sz w:val="28"/>
                <w:szCs w:val="28"/>
              </w:rPr>
              <w:t>的住宅享有占有、使用的用益物权</w:t>
            </w:r>
            <w:r w:rsidRPr="00675F83">
              <w:rPr>
                <w:rFonts w:ascii="宋体" w:hAnsi="宋体" w:hint="eastAsia"/>
                <w:sz w:val="28"/>
                <w:szCs w:val="28"/>
              </w:rPr>
              <w:t>。在《民法典》施行前，我国尚未对居住权予以明确定性，亦未出台配套规定。权利人主张维护居住性权利的，可通过要求对方当事人</w:t>
            </w:r>
            <w:r w:rsidRPr="00675F83">
              <w:rPr>
                <w:rFonts w:ascii="宋体" w:hAnsi="宋体"/>
                <w:sz w:val="28"/>
                <w:szCs w:val="28"/>
              </w:rPr>
              <w:t>迁出</w:t>
            </w:r>
            <w:r w:rsidRPr="00675F83">
              <w:rPr>
                <w:rFonts w:ascii="宋体" w:hAnsi="宋体" w:hint="eastAsia"/>
                <w:sz w:val="28"/>
                <w:szCs w:val="28"/>
              </w:rPr>
              <w:t>系争房屋、排除对方当事人对自己居住、使用系争房屋的妨害，来达到行使居住权利的目的。《民法典》增设居住权为新的用益物权类型，扩大了权利人的范围并确定了其用益物权的性质，对居住权在理论和实践领域的发展以及老年人权益保护无疑具有重大意义。</w:t>
            </w:r>
          </w:p>
          <w:p w:rsidR="000A57CC" w:rsidRPr="00675F83" w:rsidRDefault="000A57CC" w:rsidP="00963517">
            <w:pPr>
              <w:suppressAutoHyphens/>
              <w:autoSpaceDE w:val="0"/>
              <w:autoSpaceDN w:val="0"/>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根据《民法典》的规定，设立居住权应当注意以下事项：</w:t>
            </w:r>
          </w:p>
          <w:p w:rsidR="007D081F" w:rsidRPr="00675F83" w:rsidRDefault="007D081F" w:rsidP="00963517">
            <w:pPr>
              <w:suppressAutoHyphens/>
              <w:autoSpaceDE w:val="0"/>
              <w:autoSpaceDN w:val="0"/>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一是在设立形式上，根据《民法典》的规定，当事人应当采用书面形式订立居住权合同，或以遗嘱的方式设立，系基于当事人意思自治所设立的居住权。此外，居住权作为用益物权，亦适用《民法典》物权编有关物权变动的相关规定，故居住权亦可基于人民法院、仲裁委员会的生效法律文书而设立。</w:t>
            </w:r>
          </w:p>
          <w:p w:rsidR="007D081F" w:rsidRPr="00675F83" w:rsidRDefault="007D081F" w:rsidP="00963517">
            <w:pPr>
              <w:suppressAutoHyphens/>
              <w:autoSpaceDE w:val="0"/>
              <w:autoSpaceDN w:val="0"/>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二是在设立程序上，若当事人通过约定设立居住权，应</w:t>
            </w:r>
            <w:r w:rsidRPr="00675F83">
              <w:rPr>
                <w:rFonts w:ascii="宋体" w:hAnsi="宋体"/>
                <w:sz w:val="28"/>
                <w:szCs w:val="28"/>
              </w:rPr>
              <w:t>当向登记机构申请居住权登记</w:t>
            </w:r>
            <w:r w:rsidRPr="00675F83">
              <w:rPr>
                <w:rFonts w:ascii="宋体" w:hAnsi="宋体" w:hint="eastAsia"/>
                <w:sz w:val="28"/>
                <w:szCs w:val="28"/>
              </w:rPr>
              <w:t>，</w:t>
            </w:r>
            <w:r w:rsidRPr="00675F83">
              <w:rPr>
                <w:rFonts w:ascii="宋体" w:hAnsi="宋体"/>
                <w:sz w:val="28"/>
                <w:szCs w:val="28"/>
              </w:rPr>
              <w:t>居住权自登记时设立</w:t>
            </w:r>
            <w:r w:rsidRPr="00675F83">
              <w:rPr>
                <w:rFonts w:ascii="宋体" w:hAnsi="宋体" w:hint="eastAsia"/>
                <w:sz w:val="28"/>
                <w:szCs w:val="28"/>
              </w:rPr>
              <w:t>，此类登记具有创设居住权的效力，属于设权登记，未经登记，无法取得居住权。</w:t>
            </w:r>
          </w:p>
          <w:p w:rsidR="000A57CC" w:rsidRPr="00675F83" w:rsidRDefault="007D081F" w:rsidP="00963517">
            <w:pPr>
              <w:suppressAutoHyphens/>
              <w:autoSpaceDE w:val="0"/>
              <w:autoSpaceDN w:val="0"/>
              <w:adjustRightInd w:val="0"/>
              <w:snapToGrid w:val="0"/>
              <w:spacing w:line="536" w:lineRule="exact"/>
              <w:ind w:firstLineChars="200" w:firstLine="560"/>
              <w:rPr>
                <w:rFonts w:ascii="宋体" w:hAnsi="宋体" w:cs="Calibri"/>
                <w:sz w:val="28"/>
                <w:szCs w:val="28"/>
              </w:rPr>
            </w:pPr>
            <w:r w:rsidRPr="00675F83">
              <w:rPr>
                <w:rFonts w:ascii="宋体" w:hAnsi="宋体" w:hint="eastAsia"/>
                <w:sz w:val="28"/>
                <w:szCs w:val="28"/>
              </w:rPr>
              <w:t>三是在具体权能上，《民法典》明确居住权不得转让、继承，此为强制性规范，表明居住权具有极强的人身属性，不因当事人的相反约定而排除适用。另，设立居住权的房屋原则上不得出租，但当事人另有约定除外。</w:t>
            </w:r>
          </w:p>
        </w:tc>
      </w:tr>
    </w:tbl>
    <w:p w:rsidR="00A52F88" w:rsidRPr="00675F83" w:rsidRDefault="00A52F88" w:rsidP="00892C0F">
      <w:pPr>
        <w:widowControl/>
        <w:adjustRightInd w:val="0"/>
        <w:snapToGrid w:val="0"/>
        <w:spacing w:line="360" w:lineRule="auto"/>
        <w:ind w:firstLineChars="200" w:firstLine="602"/>
        <w:jc w:val="left"/>
        <w:rPr>
          <w:rFonts w:ascii="黑体" w:eastAsia="黑体" w:hAnsi="黑体"/>
          <w:b/>
          <w:sz w:val="30"/>
          <w:szCs w:val="30"/>
        </w:rPr>
      </w:pPr>
    </w:p>
    <w:p w:rsidR="000A57CC" w:rsidRPr="00675F83" w:rsidRDefault="00892C0F" w:rsidP="00892C0F">
      <w:pPr>
        <w:widowControl/>
        <w:adjustRightInd w:val="0"/>
        <w:snapToGrid w:val="0"/>
        <w:spacing w:line="360" w:lineRule="auto"/>
        <w:ind w:firstLineChars="200" w:firstLine="602"/>
        <w:jc w:val="left"/>
        <w:rPr>
          <w:rFonts w:ascii="黑体" w:eastAsia="黑体" w:hAnsi="黑体"/>
          <w:b/>
          <w:sz w:val="28"/>
          <w:szCs w:val="28"/>
        </w:rPr>
      </w:pPr>
      <w:r w:rsidRPr="00675F83">
        <w:rPr>
          <w:rFonts w:ascii="黑体" w:eastAsia="黑体" w:hAnsi="黑体" w:hint="eastAsia"/>
          <w:b/>
          <w:sz w:val="30"/>
          <w:szCs w:val="30"/>
        </w:rPr>
        <w:lastRenderedPageBreak/>
        <w:t>三、</w:t>
      </w:r>
      <w:r w:rsidR="000A57CC" w:rsidRPr="00675F83">
        <w:rPr>
          <w:rFonts w:ascii="黑体" w:eastAsia="黑体" w:hAnsi="黑体" w:hint="eastAsia"/>
          <w:b/>
          <w:sz w:val="30"/>
          <w:szCs w:val="30"/>
        </w:rPr>
        <w:t>担保制度</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4536"/>
      </w:tblGrid>
      <w:tr w:rsidR="000A57CC" w:rsidRPr="00675F83" w:rsidTr="00A2243E">
        <w:tc>
          <w:tcPr>
            <w:tcW w:w="4077" w:type="dxa"/>
          </w:tcPr>
          <w:p w:rsidR="000A57CC" w:rsidRPr="00675F83" w:rsidRDefault="000A57CC" w:rsidP="0019786B">
            <w:pPr>
              <w:jc w:val="center"/>
              <w:rPr>
                <w:rFonts w:ascii="宋体" w:hAnsi="宋体"/>
                <w:b/>
                <w:sz w:val="30"/>
                <w:szCs w:val="30"/>
              </w:rPr>
            </w:pPr>
            <w:r w:rsidRPr="00675F83">
              <w:rPr>
                <w:rFonts w:ascii="宋体" w:hAnsi="宋体" w:hint="eastAsia"/>
                <w:b/>
                <w:sz w:val="30"/>
                <w:szCs w:val="30"/>
              </w:rPr>
              <w:t>原有规定</w:t>
            </w:r>
          </w:p>
        </w:tc>
        <w:tc>
          <w:tcPr>
            <w:tcW w:w="4536" w:type="dxa"/>
          </w:tcPr>
          <w:p w:rsidR="000A57CC" w:rsidRPr="00675F83" w:rsidRDefault="000A57CC" w:rsidP="0019786B">
            <w:pPr>
              <w:jc w:val="center"/>
              <w:rPr>
                <w:rFonts w:ascii="仿宋" w:eastAsia="仿宋" w:hAnsi="仿宋"/>
                <w:b/>
                <w:sz w:val="30"/>
                <w:szCs w:val="30"/>
              </w:rPr>
            </w:pPr>
            <w:r w:rsidRPr="00675F83">
              <w:rPr>
                <w:rFonts w:ascii="宋体" w:hAnsi="宋体" w:hint="eastAsia"/>
                <w:b/>
                <w:sz w:val="30"/>
                <w:szCs w:val="30"/>
              </w:rPr>
              <w:t>《民法典》及担保制度司法解释</w:t>
            </w:r>
          </w:p>
        </w:tc>
      </w:tr>
      <w:tr w:rsidR="000A57CC" w:rsidRPr="00675F83" w:rsidTr="00A2243E">
        <w:trPr>
          <w:trHeight w:val="2560"/>
        </w:trPr>
        <w:tc>
          <w:tcPr>
            <w:tcW w:w="4077" w:type="dxa"/>
          </w:tcPr>
          <w:p w:rsidR="000A57CC" w:rsidRPr="00675F83" w:rsidRDefault="007D2E40" w:rsidP="00963517">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（一）</w:t>
            </w:r>
            <w:r w:rsidR="000A57CC" w:rsidRPr="00675F83">
              <w:rPr>
                <w:rFonts w:ascii="楷体" w:eastAsia="楷体" w:hAnsi="楷体" w:hint="eastAsia"/>
                <w:b/>
                <w:sz w:val="30"/>
                <w:szCs w:val="30"/>
              </w:rPr>
              <w:t>保证方式的推定规则</w:t>
            </w:r>
          </w:p>
          <w:p w:rsidR="000A57CC" w:rsidRPr="00675F83" w:rsidRDefault="000A57CC" w:rsidP="00963517">
            <w:pPr>
              <w:adjustRightInd w:val="0"/>
              <w:snapToGrid w:val="0"/>
              <w:spacing w:line="536" w:lineRule="exact"/>
              <w:rPr>
                <w:rFonts w:ascii="宋体" w:hAnsi="宋体"/>
                <w:b/>
                <w:sz w:val="28"/>
                <w:szCs w:val="28"/>
              </w:rPr>
            </w:pPr>
            <w:r w:rsidRPr="00675F83">
              <w:rPr>
                <w:rFonts w:ascii="宋体" w:hAnsi="宋体" w:hint="eastAsia"/>
                <w:b/>
                <w:sz w:val="28"/>
                <w:szCs w:val="28"/>
              </w:rPr>
              <w:t>《担保法》</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第十六条</w:t>
            </w:r>
            <w:r w:rsidRPr="00675F83">
              <w:rPr>
                <w:rFonts w:ascii="宋体" w:hAnsi="宋体" w:hint="eastAsia"/>
                <w:sz w:val="28"/>
                <w:szCs w:val="28"/>
              </w:rPr>
              <w:t xml:space="preserve">　保证的方式有：一般保证；（二）连带责任保证。</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第十九条</w:t>
            </w:r>
            <w:r w:rsidRPr="00675F83">
              <w:rPr>
                <w:rFonts w:ascii="宋体" w:hAnsi="宋体" w:hint="eastAsia"/>
                <w:sz w:val="28"/>
                <w:szCs w:val="28"/>
              </w:rPr>
              <w:t xml:space="preserve">  对保证方式</w:t>
            </w:r>
            <w:r w:rsidR="00185CC2" w:rsidRPr="00675F83">
              <w:rPr>
                <w:rFonts w:ascii="宋体" w:hAnsi="宋体" w:hint="eastAsia"/>
                <w:sz w:val="28"/>
                <w:szCs w:val="28"/>
              </w:rPr>
              <w:t>没有约定</w:t>
            </w:r>
            <w:r w:rsidRPr="00675F83">
              <w:rPr>
                <w:rFonts w:ascii="宋体" w:hAnsi="宋体" w:hint="eastAsia"/>
                <w:sz w:val="28"/>
                <w:szCs w:val="28"/>
              </w:rPr>
              <w:t>或约定不明确的，按照连带责任保证承担保证责任。</w:t>
            </w:r>
          </w:p>
        </w:tc>
        <w:tc>
          <w:tcPr>
            <w:tcW w:w="4536" w:type="dxa"/>
          </w:tcPr>
          <w:p w:rsidR="000A57CC" w:rsidRPr="00675F83" w:rsidRDefault="007D2E40" w:rsidP="00963517">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（一）</w:t>
            </w:r>
            <w:r w:rsidR="000A57CC" w:rsidRPr="00675F83">
              <w:rPr>
                <w:rFonts w:ascii="楷体" w:eastAsia="楷体" w:hAnsi="楷体" w:hint="eastAsia"/>
                <w:b/>
                <w:sz w:val="30"/>
                <w:szCs w:val="30"/>
              </w:rPr>
              <w:t>保证方式的推定规则</w:t>
            </w:r>
          </w:p>
          <w:p w:rsidR="000A57CC" w:rsidRPr="00675F83" w:rsidRDefault="000A57CC" w:rsidP="00963517">
            <w:pPr>
              <w:adjustRightInd w:val="0"/>
              <w:snapToGrid w:val="0"/>
              <w:spacing w:line="536" w:lineRule="exact"/>
              <w:rPr>
                <w:rFonts w:ascii="宋体" w:hAnsi="宋体"/>
                <w:b/>
                <w:sz w:val="28"/>
                <w:szCs w:val="28"/>
              </w:rPr>
            </w:pPr>
            <w:r w:rsidRPr="00675F83">
              <w:rPr>
                <w:rFonts w:ascii="宋体" w:hAnsi="宋体" w:hint="eastAsia"/>
                <w:b/>
                <w:sz w:val="28"/>
                <w:szCs w:val="28"/>
              </w:rPr>
              <w:t>《民法典》</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第六百八十六条</w:t>
            </w:r>
            <w:r w:rsidRPr="00675F83">
              <w:rPr>
                <w:rFonts w:ascii="宋体" w:hAnsi="宋体" w:hint="eastAsia"/>
                <w:sz w:val="28"/>
                <w:szCs w:val="28"/>
              </w:rPr>
              <w:t xml:space="preserve">  保证的方式包括一般保证和连带责任保证。</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sz w:val="28"/>
                <w:szCs w:val="28"/>
              </w:rPr>
              <w:t>当事人在保证合同中对保证方式没有约定或者约定不明确的，按照一般保证承担保证责任。</w:t>
            </w:r>
          </w:p>
        </w:tc>
      </w:tr>
      <w:tr w:rsidR="000A57CC" w:rsidRPr="00675F83" w:rsidTr="00A2243E">
        <w:trPr>
          <w:trHeight w:val="1672"/>
        </w:trPr>
        <w:tc>
          <w:tcPr>
            <w:tcW w:w="4077" w:type="dxa"/>
          </w:tcPr>
          <w:p w:rsidR="000A57CC" w:rsidRPr="00675F83" w:rsidRDefault="007D2E40" w:rsidP="00963517">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（二）</w:t>
            </w:r>
            <w:r w:rsidR="000A57CC" w:rsidRPr="00675F83">
              <w:rPr>
                <w:rFonts w:ascii="楷体" w:eastAsia="楷体" w:hAnsi="楷体" w:hint="eastAsia"/>
                <w:b/>
                <w:sz w:val="30"/>
                <w:szCs w:val="30"/>
              </w:rPr>
              <w:t>保证期间</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《担保法》司法解释</w:t>
            </w:r>
            <w:r w:rsidRPr="00675F83">
              <w:rPr>
                <w:rStyle w:val="a5"/>
                <w:rFonts w:ascii="宋体" w:hAnsi="宋体"/>
                <w:sz w:val="28"/>
                <w:szCs w:val="28"/>
              </w:rPr>
              <w:footnoteReference w:id="3"/>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第三十一条</w:t>
            </w:r>
            <w:r w:rsidRPr="00675F83">
              <w:rPr>
                <w:rFonts w:ascii="宋体" w:hAnsi="宋体" w:hint="eastAsia"/>
                <w:sz w:val="28"/>
                <w:szCs w:val="28"/>
              </w:rPr>
              <w:t xml:space="preserve">  保证期间不因任何事由发生中断、中止、延长的法律后果。</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第三十二条</w:t>
            </w:r>
            <w:r w:rsidRPr="00675F83">
              <w:rPr>
                <w:rFonts w:ascii="宋体" w:hAnsi="宋体" w:hint="eastAsia"/>
                <w:sz w:val="28"/>
                <w:szCs w:val="28"/>
              </w:rPr>
              <w:t xml:space="preserve">　保证合同约定的保证期间早于或者等于主债务履行期限的，视为没有约定，保证期间为主债务履行期届满之日起六个月。</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sz w:val="28"/>
                <w:szCs w:val="28"/>
              </w:rPr>
              <w:t>保证合同约定保证人承担保证责任直至主债务本息还清时为止等类似内容的，视为约定不明，保证期间为主债务履行期届满之日起二年。</w:t>
            </w:r>
          </w:p>
        </w:tc>
        <w:tc>
          <w:tcPr>
            <w:tcW w:w="4536" w:type="dxa"/>
          </w:tcPr>
          <w:p w:rsidR="000A57CC" w:rsidRPr="00675F83" w:rsidRDefault="00185CC2" w:rsidP="00963517">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（二）</w:t>
            </w:r>
            <w:r w:rsidR="000A57CC" w:rsidRPr="00675F83">
              <w:rPr>
                <w:rFonts w:ascii="楷体" w:eastAsia="楷体" w:hAnsi="楷体" w:hint="eastAsia"/>
                <w:b/>
                <w:sz w:val="30"/>
                <w:szCs w:val="30"/>
              </w:rPr>
              <w:t>保证期间</w:t>
            </w:r>
          </w:p>
          <w:p w:rsidR="000A57CC" w:rsidRPr="00675F83" w:rsidRDefault="000A57CC" w:rsidP="00963517">
            <w:pPr>
              <w:adjustRightInd w:val="0"/>
              <w:snapToGrid w:val="0"/>
              <w:spacing w:line="536" w:lineRule="exact"/>
              <w:rPr>
                <w:rFonts w:ascii="宋体" w:hAnsi="宋体"/>
                <w:b/>
                <w:sz w:val="28"/>
                <w:szCs w:val="28"/>
              </w:rPr>
            </w:pPr>
            <w:r w:rsidRPr="00675F83">
              <w:rPr>
                <w:rFonts w:ascii="宋体" w:hAnsi="宋体" w:hint="eastAsia"/>
                <w:b/>
                <w:sz w:val="28"/>
                <w:szCs w:val="28"/>
              </w:rPr>
              <w:t>《民法典》</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第六百九十二条</w:t>
            </w:r>
            <w:r w:rsidRPr="00675F83">
              <w:rPr>
                <w:rFonts w:ascii="宋体" w:hAnsi="宋体" w:hint="eastAsia"/>
                <w:sz w:val="28"/>
                <w:szCs w:val="28"/>
              </w:rPr>
              <w:t xml:space="preserve">  保证期间是确定保证人承担保证责任的期间，不发生中止、中断和延长。</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sz w:val="28"/>
                <w:szCs w:val="28"/>
              </w:rPr>
              <w:t>债权人与保证人可以约定保证期间，但是约定的保证期间早于主债务履行期限或者与主债务履行期限同时届满的，视为没有约定；没有约定或者约定不明确的，保证期间为主债务履行期限届满之日起六个月。</w:t>
            </w:r>
          </w:p>
        </w:tc>
      </w:tr>
      <w:tr w:rsidR="000A57CC" w:rsidRPr="00675F83" w:rsidTr="00A2243E">
        <w:tc>
          <w:tcPr>
            <w:tcW w:w="4077" w:type="dxa"/>
          </w:tcPr>
          <w:p w:rsidR="000A57CC" w:rsidRPr="00675F83" w:rsidRDefault="00577282" w:rsidP="00963517">
            <w:pPr>
              <w:spacing w:line="536" w:lineRule="exact"/>
              <w:rPr>
                <w:rFonts w:ascii="楷体" w:eastAsia="楷体" w:hAnsi="楷体"/>
                <w:b/>
                <w:sz w:val="30"/>
                <w:szCs w:val="30"/>
              </w:rPr>
            </w:pPr>
            <w:r w:rsidRPr="00675F83">
              <w:rPr>
                <w:rFonts w:ascii="楷体" w:eastAsia="楷体" w:hAnsi="楷体" w:hint="eastAsia"/>
                <w:b/>
                <w:sz w:val="30"/>
                <w:szCs w:val="30"/>
              </w:rPr>
              <w:lastRenderedPageBreak/>
              <w:t>（三）</w:t>
            </w:r>
            <w:r w:rsidR="000A57CC" w:rsidRPr="00675F83">
              <w:rPr>
                <w:rFonts w:ascii="楷体" w:eastAsia="楷体" w:hAnsi="楷体" w:hint="eastAsia"/>
                <w:b/>
                <w:sz w:val="30"/>
                <w:szCs w:val="30"/>
              </w:rPr>
              <w:t>共同担保人间的内部追偿权</w:t>
            </w:r>
          </w:p>
          <w:p w:rsidR="000A57CC" w:rsidRPr="00675F83" w:rsidRDefault="000A57CC" w:rsidP="00963517">
            <w:pPr>
              <w:adjustRightInd w:val="0"/>
              <w:snapToGrid w:val="0"/>
              <w:spacing w:line="536" w:lineRule="exact"/>
              <w:rPr>
                <w:rFonts w:ascii="宋体" w:hAnsi="宋体"/>
                <w:b/>
                <w:sz w:val="28"/>
                <w:szCs w:val="28"/>
              </w:rPr>
            </w:pPr>
            <w:r w:rsidRPr="00675F83">
              <w:rPr>
                <w:rFonts w:ascii="宋体" w:hAnsi="宋体" w:hint="eastAsia"/>
                <w:b/>
                <w:sz w:val="28"/>
                <w:szCs w:val="28"/>
              </w:rPr>
              <w:t>《担保法》</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第十二条</w:t>
            </w:r>
            <w:r w:rsidRPr="00675F83">
              <w:rPr>
                <w:rFonts w:ascii="宋体" w:hAnsi="宋体" w:hint="eastAsia"/>
                <w:sz w:val="28"/>
                <w:szCs w:val="28"/>
              </w:rPr>
              <w:t xml:space="preserve"> 同一债务有两个以上保证人的，保证人应当按照保证合同约定的保证份额，承担保证责任。没有约定保证份额的，保证人承担连带责任，债权人可以要求任何一个保证人承担全部保证责任，保证人都负有担保全部债权实现的义务。已经承担保证责任的保证人，有权向债务人追偿，或者要求承担连带责任的其他保证人清偿其应当承担的份额。</w:t>
            </w:r>
          </w:p>
          <w:p w:rsidR="000A57CC" w:rsidRPr="00675F83" w:rsidRDefault="000A57CC" w:rsidP="00963517">
            <w:pPr>
              <w:spacing w:line="536" w:lineRule="exact"/>
              <w:ind w:firstLineChars="200" w:firstLine="560"/>
              <w:rPr>
                <w:rFonts w:ascii="宋体" w:hAnsi="宋体"/>
                <w:sz w:val="28"/>
                <w:szCs w:val="28"/>
              </w:rPr>
            </w:pPr>
          </w:p>
        </w:tc>
        <w:tc>
          <w:tcPr>
            <w:tcW w:w="4536" w:type="dxa"/>
          </w:tcPr>
          <w:p w:rsidR="000A57CC" w:rsidRPr="00675F83" w:rsidRDefault="00577282" w:rsidP="00963517">
            <w:pPr>
              <w:spacing w:line="536" w:lineRule="exact"/>
              <w:rPr>
                <w:rFonts w:ascii="楷体" w:eastAsia="楷体" w:hAnsi="楷体"/>
                <w:b/>
                <w:sz w:val="30"/>
                <w:szCs w:val="30"/>
              </w:rPr>
            </w:pPr>
            <w:r w:rsidRPr="00675F83">
              <w:rPr>
                <w:rFonts w:ascii="楷体" w:eastAsia="楷体" w:hAnsi="楷体" w:hint="eastAsia"/>
                <w:b/>
                <w:sz w:val="30"/>
                <w:szCs w:val="30"/>
              </w:rPr>
              <w:t>（三）</w:t>
            </w:r>
            <w:r w:rsidR="000A57CC" w:rsidRPr="00675F83">
              <w:rPr>
                <w:rFonts w:ascii="楷体" w:eastAsia="楷体" w:hAnsi="楷体" w:hint="eastAsia"/>
                <w:b/>
                <w:sz w:val="30"/>
                <w:szCs w:val="30"/>
              </w:rPr>
              <w:t>共同担保人间的内部追偿权</w:t>
            </w:r>
          </w:p>
          <w:p w:rsidR="000A57CC" w:rsidRPr="00675F83" w:rsidRDefault="000A57CC" w:rsidP="00963517">
            <w:pPr>
              <w:adjustRightInd w:val="0"/>
              <w:snapToGrid w:val="0"/>
              <w:spacing w:line="536" w:lineRule="exact"/>
              <w:rPr>
                <w:rFonts w:ascii="宋体" w:hAnsi="宋体"/>
                <w:sz w:val="30"/>
                <w:szCs w:val="30"/>
              </w:rPr>
            </w:pPr>
            <w:r w:rsidRPr="00675F83">
              <w:rPr>
                <w:rFonts w:ascii="宋体" w:hAnsi="宋体" w:hint="eastAsia"/>
                <w:b/>
                <w:sz w:val="28"/>
                <w:szCs w:val="28"/>
              </w:rPr>
              <w:t>《民法典》担保制度司法解释</w:t>
            </w:r>
            <w:r w:rsidRPr="00675F83">
              <w:rPr>
                <w:rStyle w:val="a5"/>
                <w:rFonts w:ascii="宋体" w:hAnsi="宋体"/>
                <w:sz w:val="30"/>
                <w:szCs w:val="30"/>
              </w:rPr>
              <w:footnoteReference w:id="4"/>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第十三条</w:t>
            </w:r>
            <w:r w:rsidRPr="00675F83">
              <w:rPr>
                <w:rFonts w:ascii="宋体" w:hAnsi="宋体" w:hint="eastAsia"/>
                <w:sz w:val="28"/>
                <w:szCs w:val="28"/>
              </w:rPr>
              <w:t xml:space="preserve"> 同一债务有两个以上第三人提供担保，担保人之间约定相互追偿及分担份额，承担了担保责任的担保人请求其他担保人按照约定分担份额的，人民法院应予支持；担保人之间约定承担连带共同担保，或者约定相互追偿但是未约定分担份额的，各担保人按照比例分担向债务人不能追偿的部分。</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sz w:val="28"/>
                <w:szCs w:val="28"/>
              </w:rPr>
              <w:t>同一债务有两个以上第三人提供担保，担保人之间未对相互追偿作出约定且未约定承担连带共同担保，但是各担保人在同一份合同上签字、盖章或者按指印，承担了担保责任的担保人请求其他担保人按照比例分担向债务人不能追偿部分的，人民法院应予支持。</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sz w:val="28"/>
                <w:szCs w:val="28"/>
              </w:rPr>
              <w:t>除前两款规定的情形外，承担了担保责任的担保人请求其他担保人分担向债务人不能追偿部分的，人民法院不予支持。</w:t>
            </w:r>
          </w:p>
        </w:tc>
      </w:tr>
      <w:tr w:rsidR="000A57CC" w:rsidRPr="00675F83" w:rsidTr="00A2243E">
        <w:trPr>
          <w:trHeight w:val="4789"/>
        </w:trPr>
        <w:tc>
          <w:tcPr>
            <w:tcW w:w="4077" w:type="dxa"/>
          </w:tcPr>
          <w:p w:rsidR="000A57CC" w:rsidRPr="00675F83" w:rsidRDefault="00577282" w:rsidP="00963517">
            <w:pPr>
              <w:spacing w:line="536" w:lineRule="exact"/>
              <w:rPr>
                <w:rFonts w:ascii="楷体" w:eastAsia="楷体" w:hAnsi="楷体"/>
                <w:b/>
                <w:sz w:val="30"/>
                <w:szCs w:val="30"/>
              </w:rPr>
            </w:pPr>
            <w:r w:rsidRPr="00675F83">
              <w:rPr>
                <w:rFonts w:ascii="楷体" w:eastAsia="楷体" w:hAnsi="楷体" w:hint="eastAsia"/>
                <w:b/>
                <w:sz w:val="30"/>
                <w:szCs w:val="30"/>
              </w:rPr>
              <w:lastRenderedPageBreak/>
              <w:t>（四）</w:t>
            </w:r>
            <w:r w:rsidR="000A57CC" w:rsidRPr="00675F83">
              <w:rPr>
                <w:rFonts w:ascii="楷体" w:eastAsia="楷体" w:hAnsi="楷体" w:hint="eastAsia"/>
                <w:b/>
                <w:sz w:val="30"/>
                <w:szCs w:val="30"/>
              </w:rPr>
              <w:t>抵押财产的转让</w:t>
            </w:r>
          </w:p>
          <w:p w:rsidR="000A57CC" w:rsidRPr="00675F83" w:rsidRDefault="000A57CC" w:rsidP="00963517">
            <w:pPr>
              <w:adjustRightInd w:val="0"/>
              <w:snapToGrid w:val="0"/>
              <w:spacing w:line="536" w:lineRule="exact"/>
              <w:rPr>
                <w:rFonts w:ascii="宋体" w:hAnsi="宋体"/>
                <w:b/>
                <w:sz w:val="28"/>
                <w:szCs w:val="28"/>
              </w:rPr>
            </w:pPr>
            <w:r w:rsidRPr="00675F83">
              <w:rPr>
                <w:rFonts w:ascii="宋体" w:hAnsi="宋体" w:hint="eastAsia"/>
                <w:b/>
                <w:sz w:val="28"/>
                <w:szCs w:val="28"/>
              </w:rPr>
              <w:t>1.</w:t>
            </w:r>
            <w:r w:rsidR="00180AE9" w:rsidRPr="00675F83">
              <w:rPr>
                <w:rFonts w:ascii="宋体" w:hAnsi="宋体" w:hint="eastAsia"/>
                <w:b/>
                <w:sz w:val="28"/>
                <w:szCs w:val="28"/>
              </w:rPr>
              <w:t xml:space="preserve"> </w:t>
            </w:r>
            <w:r w:rsidRPr="00675F83">
              <w:rPr>
                <w:rFonts w:ascii="宋体" w:hAnsi="宋体" w:hint="eastAsia"/>
                <w:b/>
                <w:sz w:val="28"/>
                <w:szCs w:val="28"/>
              </w:rPr>
              <w:t>《担保法》</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 xml:space="preserve">第四十九条  </w:t>
            </w:r>
            <w:r w:rsidRPr="00675F83">
              <w:rPr>
                <w:rFonts w:ascii="宋体" w:hAnsi="宋体" w:hint="eastAsia"/>
                <w:sz w:val="28"/>
                <w:szCs w:val="28"/>
              </w:rPr>
              <w:t>抵押期间，抵押人转让已办理登记的抵押物的，应当通知抵押权人并告知受让人转让物已经抵押的情况；抵押人未通知抵押权人或者未告知受让人的，转让行为无效。</w:t>
            </w:r>
          </w:p>
          <w:p w:rsidR="000A57CC" w:rsidRPr="00675F83" w:rsidRDefault="000A57CC" w:rsidP="00963517">
            <w:pPr>
              <w:adjustRightInd w:val="0"/>
              <w:snapToGrid w:val="0"/>
              <w:spacing w:line="536" w:lineRule="exact"/>
              <w:rPr>
                <w:rFonts w:ascii="宋体" w:hAnsi="宋体"/>
                <w:b/>
                <w:sz w:val="28"/>
                <w:szCs w:val="28"/>
              </w:rPr>
            </w:pPr>
            <w:r w:rsidRPr="00675F83">
              <w:rPr>
                <w:rFonts w:ascii="宋体" w:hAnsi="宋体" w:hint="eastAsia"/>
                <w:b/>
                <w:sz w:val="28"/>
                <w:szCs w:val="28"/>
              </w:rPr>
              <w:t>2</w:t>
            </w:r>
            <w:r w:rsidR="00180AE9" w:rsidRPr="00675F83">
              <w:rPr>
                <w:rFonts w:ascii="宋体" w:hAnsi="宋体" w:hint="eastAsia"/>
                <w:b/>
                <w:sz w:val="28"/>
                <w:szCs w:val="28"/>
              </w:rPr>
              <w:t xml:space="preserve">. </w:t>
            </w:r>
            <w:r w:rsidRPr="00675F83">
              <w:rPr>
                <w:rFonts w:ascii="宋体" w:hAnsi="宋体" w:hint="eastAsia"/>
                <w:b/>
                <w:sz w:val="28"/>
                <w:szCs w:val="28"/>
              </w:rPr>
              <w:t>《物权法》</w:t>
            </w:r>
          </w:p>
          <w:p w:rsidR="000A57CC" w:rsidRPr="00675F83" w:rsidRDefault="000A57CC" w:rsidP="00963517">
            <w:pPr>
              <w:adjustRightInd w:val="0"/>
              <w:snapToGrid w:val="0"/>
              <w:spacing w:line="536" w:lineRule="exact"/>
              <w:rPr>
                <w:rFonts w:ascii="宋体" w:hAnsi="宋体"/>
                <w:sz w:val="28"/>
                <w:szCs w:val="28"/>
              </w:rPr>
            </w:pPr>
            <w:r w:rsidRPr="00675F83">
              <w:rPr>
                <w:rFonts w:ascii="宋体" w:hAnsi="宋体" w:hint="eastAsia"/>
                <w:b/>
                <w:sz w:val="28"/>
                <w:szCs w:val="28"/>
              </w:rPr>
              <w:t>第一百九十一条第二款</w:t>
            </w:r>
            <w:r w:rsidRPr="00675F83">
              <w:rPr>
                <w:rFonts w:ascii="宋体" w:hAnsi="宋体" w:hint="eastAsia"/>
                <w:sz w:val="28"/>
                <w:szCs w:val="28"/>
              </w:rPr>
              <w:t xml:space="preserve">  抵押期间，抵押人未经抵押权人同意，不得转让抵押财产，但受让人代为清偿债务消灭抵押权的除外。</w:t>
            </w:r>
          </w:p>
        </w:tc>
        <w:tc>
          <w:tcPr>
            <w:tcW w:w="4536" w:type="dxa"/>
          </w:tcPr>
          <w:p w:rsidR="000A57CC" w:rsidRPr="00675F83" w:rsidRDefault="00577282" w:rsidP="00963517">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（四）</w:t>
            </w:r>
            <w:r w:rsidR="000A57CC" w:rsidRPr="00675F83">
              <w:rPr>
                <w:rFonts w:ascii="楷体" w:eastAsia="楷体" w:hAnsi="楷体" w:hint="eastAsia"/>
                <w:b/>
                <w:sz w:val="30"/>
                <w:szCs w:val="30"/>
              </w:rPr>
              <w:t>抵押财产的转让</w:t>
            </w:r>
          </w:p>
          <w:p w:rsidR="000A57CC" w:rsidRPr="00675F83" w:rsidRDefault="000A57CC" w:rsidP="00963517">
            <w:pPr>
              <w:adjustRightInd w:val="0"/>
              <w:snapToGrid w:val="0"/>
              <w:spacing w:line="536" w:lineRule="exact"/>
              <w:rPr>
                <w:rFonts w:ascii="宋体" w:hAnsi="宋体"/>
                <w:b/>
                <w:sz w:val="28"/>
                <w:szCs w:val="28"/>
              </w:rPr>
            </w:pPr>
            <w:r w:rsidRPr="00675F83">
              <w:rPr>
                <w:rFonts w:ascii="宋体" w:hAnsi="宋体" w:hint="eastAsia"/>
                <w:b/>
                <w:sz w:val="28"/>
                <w:szCs w:val="28"/>
              </w:rPr>
              <w:t>《民法典》</w:t>
            </w:r>
          </w:p>
          <w:p w:rsidR="000A57CC" w:rsidRPr="00675F83" w:rsidRDefault="000A57CC" w:rsidP="00963517">
            <w:pPr>
              <w:suppressAutoHyphens/>
              <w:autoSpaceDE w:val="0"/>
              <w:autoSpaceDN w:val="0"/>
              <w:adjustRightInd w:val="0"/>
              <w:snapToGrid w:val="0"/>
              <w:spacing w:line="536" w:lineRule="exact"/>
              <w:rPr>
                <w:rFonts w:ascii="宋体" w:hAnsi="宋体"/>
                <w:sz w:val="28"/>
                <w:szCs w:val="28"/>
              </w:rPr>
            </w:pPr>
            <w:r w:rsidRPr="00675F83">
              <w:rPr>
                <w:rFonts w:ascii="宋体" w:hAnsi="宋体"/>
                <w:b/>
                <w:sz w:val="28"/>
                <w:szCs w:val="28"/>
              </w:rPr>
              <w:t>第四百零六条</w:t>
            </w:r>
            <w:r w:rsidRPr="00675F83">
              <w:rPr>
                <w:rFonts w:ascii="宋体" w:hAnsi="宋体" w:hint="eastAsia"/>
                <w:sz w:val="28"/>
                <w:szCs w:val="28"/>
              </w:rPr>
              <w:t xml:space="preserve">  </w:t>
            </w:r>
            <w:r w:rsidRPr="00675F83">
              <w:rPr>
                <w:rFonts w:ascii="宋体" w:hAnsi="宋体"/>
                <w:sz w:val="28"/>
                <w:szCs w:val="28"/>
              </w:rPr>
              <w:t>抵押期间，抵押人可以转让抵押财产。当事人另有约定的，按照其约定。抵押财产转让的，抵押权不受影响。</w:t>
            </w:r>
          </w:p>
          <w:p w:rsidR="000A57CC" w:rsidRPr="00675F83" w:rsidRDefault="000A57CC" w:rsidP="00963517">
            <w:pPr>
              <w:suppressAutoHyphens/>
              <w:autoSpaceDE w:val="0"/>
              <w:autoSpaceDN w:val="0"/>
              <w:adjustRightInd w:val="0"/>
              <w:snapToGrid w:val="0"/>
              <w:spacing w:line="536" w:lineRule="exact"/>
              <w:rPr>
                <w:rFonts w:ascii="宋体" w:hAnsi="宋体"/>
                <w:sz w:val="30"/>
                <w:szCs w:val="30"/>
              </w:rPr>
            </w:pPr>
            <w:r w:rsidRPr="00675F83">
              <w:rPr>
                <w:rFonts w:ascii="宋体" w:hAnsi="宋体"/>
                <w:sz w:val="28"/>
                <w:szCs w:val="28"/>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tc>
      </w:tr>
      <w:tr w:rsidR="000A57CC" w:rsidRPr="00675F83" w:rsidTr="00CC5F46">
        <w:tc>
          <w:tcPr>
            <w:tcW w:w="8613" w:type="dxa"/>
            <w:gridSpan w:val="2"/>
          </w:tcPr>
          <w:p w:rsidR="000A57CC" w:rsidRPr="00675F83" w:rsidRDefault="000A57CC" w:rsidP="00963517">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新法提示：</w:t>
            </w:r>
          </w:p>
          <w:p w:rsidR="000A57CC" w:rsidRPr="00675F83" w:rsidRDefault="000A57CC" w:rsidP="00963517">
            <w:pPr>
              <w:adjustRightInd w:val="0"/>
              <w:snapToGrid w:val="0"/>
              <w:spacing w:line="536" w:lineRule="exact"/>
              <w:ind w:firstLineChars="196" w:firstLine="549"/>
              <w:rPr>
                <w:rFonts w:ascii="宋体" w:hAnsi="宋体"/>
                <w:b/>
                <w:sz w:val="28"/>
                <w:szCs w:val="28"/>
              </w:rPr>
            </w:pPr>
            <w:r w:rsidRPr="00675F83">
              <w:rPr>
                <w:rFonts w:ascii="宋体" w:hAnsi="宋体" w:hint="eastAsia"/>
                <w:sz w:val="28"/>
                <w:szCs w:val="28"/>
              </w:rPr>
              <w:t>担保制度既有确保债权实现的功能，也有促进资金高效运用的功能，担保法制度更是民商法中最为活跃的领域之一。《民法典》及其担保制度解释对原担保制度进行了诸多实质性修改，完善了担保制度，直接影响了担保责任的承担及债权的实现。现将与老年人生活紧密相关的主要修改梳理总结如下：</w:t>
            </w:r>
          </w:p>
          <w:p w:rsidR="000A57CC" w:rsidRPr="00675F83" w:rsidRDefault="000A57CC" w:rsidP="00963517">
            <w:pPr>
              <w:adjustRightInd w:val="0"/>
              <w:snapToGrid w:val="0"/>
              <w:spacing w:line="536" w:lineRule="exact"/>
              <w:ind w:firstLineChars="196" w:firstLine="551"/>
              <w:rPr>
                <w:rFonts w:ascii="宋体" w:hAnsi="宋体"/>
                <w:b/>
                <w:sz w:val="28"/>
                <w:szCs w:val="28"/>
              </w:rPr>
            </w:pPr>
            <w:r w:rsidRPr="00675F83">
              <w:rPr>
                <w:rFonts w:ascii="宋体" w:hAnsi="宋体" w:hint="eastAsia"/>
                <w:b/>
                <w:sz w:val="28"/>
                <w:szCs w:val="28"/>
              </w:rPr>
              <w:t>1.</w:t>
            </w:r>
            <w:r w:rsidR="00E116E7" w:rsidRPr="00675F83">
              <w:rPr>
                <w:rFonts w:ascii="宋体" w:hAnsi="宋体" w:hint="eastAsia"/>
                <w:b/>
                <w:sz w:val="28"/>
                <w:szCs w:val="28"/>
              </w:rPr>
              <w:t xml:space="preserve"> </w:t>
            </w:r>
            <w:r w:rsidRPr="00675F83">
              <w:rPr>
                <w:rFonts w:ascii="宋体" w:hAnsi="宋体" w:hint="eastAsia"/>
                <w:b/>
                <w:sz w:val="28"/>
                <w:szCs w:val="28"/>
              </w:rPr>
              <w:t>保证方式的推定规则变化</w:t>
            </w:r>
          </w:p>
          <w:p w:rsidR="000A57CC" w:rsidRPr="00675F83" w:rsidRDefault="000A57CC" w:rsidP="00963517">
            <w:pPr>
              <w:adjustRightInd w:val="0"/>
              <w:snapToGrid w:val="0"/>
              <w:spacing w:line="536" w:lineRule="exact"/>
              <w:ind w:firstLine="555"/>
              <w:rPr>
                <w:rFonts w:ascii="宋体" w:hAnsi="宋体"/>
                <w:sz w:val="28"/>
                <w:szCs w:val="28"/>
              </w:rPr>
            </w:pPr>
            <w:r w:rsidRPr="00675F83">
              <w:rPr>
                <w:rFonts w:ascii="宋体" w:hAnsi="宋体" w:hint="eastAsia"/>
                <w:sz w:val="28"/>
                <w:szCs w:val="28"/>
              </w:rPr>
              <w:t>保证合同对保证方式没有约定或约定不明时，由原担保法推定的“连带保证”变更为</w:t>
            </w:r>
            <w:r w:rsidR="00D57DA3" w:rsidRPr="00117446">
              <w:rPr>
                <w:rFonts w:ascii="宋体" w:hAnsi="宋体" w:hint="eastAsia"/>
                <w:sz w:val="28"/>
                <w:szCs w:val="28"/>
              </w:rPr>
              <w:t>《民法典》</w:t>
            </w:r>
            <w:r w:rsidRPr="00117446">
              <w:rPr>
                <w:rFonts w:ascii="宋体" w:hAnsi="宋体" w:hint="eastAsia"/>
                <w:sz w:val="28"/>
                <w:szCs w:val="28"/>
              </w:rPr>
              <w:t>推定</w:t>
            </w:r>
            <w:r w:rsidR="00D57DA3" w:rsidRPr="00117446">
              <w:rPr>
                <w:rFonts w:ascii="宋体" w:hAnsi="宋体" w:hint="eastAsia"/>
                <w:sz w:val="28"/>
                <w:szCs w:val="28"/>
              </w:rPr>
              <w:t>的</w:t>
            </w:r>
            <w:r w:rsidRPr="00117446">
              <w:rPr>
                <w:rFonts w:ascii="宋体" w:hAnsi="宋体" w:hint="eastAsia"/>
                <w:sz w:val="28"/>
                <w:szCs w:val="28"/>
              </w:rPr>
              <w:t>“一般保证”。一般保证的保证人享有先诉抗辩权，即在主合同纠纷未经审判或仲裁，并就债务人</w:t>
            </w:r>
            <w:r w:rsidR="000104DD" w:rsidRPr="00117446">
              <w:rPr>
                <w:rFonts w:ascii="宋体" w:hAnsi="宋体" w:hint="eastAsia"/>
                <w:sz w:val="28"/>
                <w:szCs w:val="28"/>
              </w:rPr>
              <w:t>财产依法强制执行仍不能履行债务前，有权拒绝向债权人承担保证责任。</w:t>
            </w:r>
            <w:r w:rsidRPr="00117446">
              <w:rPr>
                <w:rFonts w:ascii="宋体" w:hAnsi="宋体" w:hint="eastAsia"/>
                <w:sz w:val="28"/>
                <w:szCs w:val="28"/>
              </w:rPr>
              <w:t>可见，</w:t>
            </w:r>
            <w:r w:rsidR="00D57DA3" w:rsidRPr="00117446">
              <w:rPr>
                <w:rFonts w:ascii="宋体" w:hAnsi="宋体" w:hint="eastAsia"/>
                <w:sz w:val="28"/>
                <w:szCs w:val="28"/>
              </w:rPr>
              <w:t>《</w:t>
            </w:r>
            <w:r w:rsidRPr="00117446">
              <w:rPr>
                <w:rFonts w:ascii="宋体" w:hAnsi="宋体" w:hint="eastAsia"/>
                <w:sz w:val="28"/>
                <w:szCs w:val="28"/>
              </w:rPr>
              <w:t>民法典</w:t>
            </w:r>
            <w:r w:rsidR="00D57DA3" w:rsidRPr="00117446">
              <w:rPr>
                <w:rFonts w:ascii="宋体" w:hAnsi="宋体" w:hint="eastAsia"/>
                <w:sz w:val="28"/>
                <w:szCs w:val="28"/>
              </w:rPr>
              <w:t>》</w:t>
            </w:r>
            <w:r w:rsidRPr="00675F83">
              <w:rPr>
                <w:rFonts w:ascii="宋体" w:hAnsi="宋体" w:hint="eastAsia"/>
                <w:sz w:val="28"/>
                <w:szCs w:val="28"/>
              </w:rPr>
              <w:t>更倾向于保护保证人的利益。</w:t>
            </w:r>
          </w:p>
          <w:p w:rsidR="000A57CC" w:rsidRPr="00675F83" w:rsidRDefault="000A57CC" w:rsidP="00963517">
            <w:pPr>
              <w:adjustRightInd w:val="0"/>
              <w:snapToGrid w:val="0"/>
              <w:spacing w:line="536" w:lineRule="exact"/>
              <w:ind w:firstLine="555"/>
              <w:rPr>
                <w:rFonts w:ascii="宋体" w:hAnsi="宋体"/>
                <w:b/>
                <w:sz w:val="28"/>
                <w:szCs w:val="28"/>
              </w:rPr>
            </w:pPr>
            <w:r w:rsidRPr="00675F83">
              <w:rPr>
                <w:rFonts w:ascii="宋体" w:hAnsi="宋体" w:hint="eastAsia"/>
                <w:b/>
                <w:sz w:val="28"/>
                <w:szCs w:val="28"/>
              </w:rPr>
              <w:lastRenderedPageBreak/>
              <w:t>2.</w:t>
            </w:r>
            <w:r w:rsidR="00E116E7" w:rsidRPr="00675F83">
              <w:rPr>
                <w:rFonts w:ascii="宋体" w:hAnsi="宋体" w:hint="eastAsia"/>
                <w:b/>
                <w:sz w:val="28"/>
                <w:szCs w:val="28"/>
              </w:rPr>
              <w:t xml:space="preserve"> </w:t>
            </w:r>
            <w:r w:rsidRPr="00675F83">
              <w:rPr>
                <w:rFonts w:ascii="宋体" w:hAnsi="宋体" w:hint="eastAsia"/>
                <w:b/>
                <w:sz w:val="28"/>
                <w:szCs w:val="28"/>
              </w:rPr>
              <w:t>保证期间约定不明时，保证期间缩短</w:t>
            </w:r>
          </w:p>
          <w:p w:rsidR="000A57CC" w:rsidRPr="00675F83" w:rsidRDefault="000A57CC" w:rsidP="00963517">
            <w:pPr>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对于保证期间没有约定或者约定不明的，《民法典》将保证期间由自主债务履行期限届满之日起</w:t>
            </w:r>
            <w:r w:rsidR="00A06613" w:rsidRPr="00675F83">
              <w:rPr>
                <w:rFonts w:ascii="宋体" w:hAnsi="宋体" w:hint="eastAsia"/>
                <w:sz w:val="28"/>
                <w:szCs w:val="28"/>
              </w:rPr>
              <w:t>二</w:t>
            </w:r>
            <w:r w:rsidRPr="00675F83">
              <w:rPr>
                <w:rFonts w:ascii="宋体" w:hAnsi="宋体" w:hint="eastAsia"/>
                <w:sz w:val="28"/>
                <w:szCs w:val="28"/>
              </w:rPr>
              <w:t>年调整为</w:t>
            </w:r>
            <w:r w:rsidR="00A06613" w:rsidRPr="00675F83">
              <w:rPr>
                <w:rFonts w:ascii="宋体" w:hAnsi="宋体" w:hint="eastAsia"/>
                <w:sz w:val="28"/>
                <w:szCs w:val="28"/>
              </w:rPr>
              <w:t>六</w:t>
            </w:r>
            <w:r w:rsidRPr="00675F83">
              <w:rPr>
                <w:rFonts w:ascii="宋体" w:hAnsi="宋体" w:hint="eastAsia"/>
                <w:sz w:val="28"/>
                <w:szCs w:val="28"/>
              </w:rPr>
              <w:t>个月。上述规定体现了对保证人的倾向性保护，而债权人为保障债权的实现，应当尽可能约定明确的保证期间，并在保证期间内及时行使权利。</w:t>
            </w:r>
          </w:p>
          <w:p w:rsidR="000A57CC" w:rsidRPr="00675F83" w:rsidRDefault="000A57CC" w:rsidP="00963517">
            <w:pPr>
              <w:adjustRightInd w:val="0"/>
              <w:snapToGrid w:val="0"/>
              <w:spacing w:line="536" w:lineRule="exact"/>
              <w:ind w:firstLineChars="200" w:firstLine="562"/>
              <w:rPr>
                <w:rFonts w:ascii="宋体" w:hAnsi="宋体"/>
                <w:b/>
                <w:sz w:val="28"/>
                <w:szCs w:val="28"/>
              </w:rPr>
            </w:pPr>
            <w:r w:rsidRPr="00675F83">
              <w:rPr>
                <w:rFonts w:ascii="宋体" w:hAnsi="宋体" w:hint="eastAsia"/>
                <w:b/>
                <w:sz w:val="28"/>
                <w:szCs w:val="28"/>
              </w:rPr>
              <w:t>3.</w:t>
            </w:r>
            <w:r w:rsidR="00E116E7" w:rsidRPr="00675F83">
              <w:rPr>
                <w:rFonts w:ascii="宋体" w:hAnsi="宋体" w:hint="eastAsia"/>
                <w:b/>
                <w:sz w:val="28"/>
                <w:szCs w:val="28"/>
              </w:rPr>
              <w:t xml:space="preserve"> </w:t>
            </w:r>
            <w:r w:rsidRPr="00675F83">
              <w:rPr>
                <w:rFonts w:ascii="宋体" w:hAnsi="宋体" w:hint="eastAsia"/>
                <w:b/>
                <w:sz w:val="28"/>
                <w:szCs w:val="28"/>
              </w:rPr>
              <w:t>明确共同担保人间享有内部追偿权的</w:t>
            </w:r>
            <w:r w:rsidR="00A06613" w:rsidRPr="00675F83">
              <w:rPr>
                <w:rFonts w:ascii="宋体" w:hAnsi="宋体" w:hint="eastAsia"/>
                <w:b/>
                <w:sz w:val="28"/>
                <w:szCs w:val="28"/>
              </w:rPr>
              <w:t>三</w:t>
            </w:r>
            <w:r w:rsidR="00E116E7" w:rsidRPr="00675F83">
              <w:rPr>
                <w:rFonts w:ascii="宋体" w:hAnsi="宋体" w:hint="eastAsia"/>
                <w:b/>
                <w:sz w:val="28"/>
                <w:szCs w:val="28"/>
              </w:rPr>
              <w:t>种情形</w:t>
            </w:r>
          </w:p>
          <w:p w:rsidR="000A57CC" w:rsidRPr="00675F83" w:rsidRDefault="000A57CC" w:rsidP="00963517">
            <w:pPr>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民法典》及其担保制度司法解释明确，除合同约定可相互追偿，合同约定承担连带共同保证，多个担保人在同一合同上签字、盖章或捺印的情形外，原则上担保人之间不享有相互追偿权。另明确，保证人在承担保证责任后不仅可向债务人追偿，也可行使原债权人对债务人的包括抵押权等从权利在内的所有权利。</w:t>
            </w:r>
          </w:p>
          <w:p w:rsidR="000A57CC" w:rsidRPr="00675F83" w:rsidRDefault="000A57CC" w:rsidP="00963517">
            <w:pPr>
              <w:adjustRightInd w:val="0"/>
              <w:snapToGrid w:val="0"/>
              <w:spacing w:line="536" w:lineRule="exact"/>
              <w:ind w:firstLineChars="200" w:firstLine="562"/>
              <w:rPr>
                <w:rFonts w:ascii="宋体" w:hAnsi="宋体"/>
                <w:b/>
                <w:sz w:val="28"/>
                <w:szCs w:val="28"/>
              </w:rPr>
            </w:pPr>
            <w:r w:rsidRPr="00675F83">
              <w:rPr>
                <w:rFonts w:ascii="宋体" w:hAnsi="宋体" w:hint="eastAsia"/>
                <w:b/>
                <w:sz w:val="28"/>
                <w:szCs w:val="28"/>
              </w:rPr>
              <w:t>4.</w:t>
            </w:r>
            <w:r w:rsidR="00E116E7" w:rsidRPr="00675F83">
              <w:rPr>
                <w:rFonts w:ascii="宋体" w:hAnsi="宋体" w:hint="eastAsia"/>
                <w:b/>
                <w:sz w:val="28"/>
                <w:szCs w:val="28"/>
              </w:rPr>
              <w:t xml:space="preserve"> 无需抵押权人同意，抵押人即可转让抵押财产</w:t>
            </w:r>
          </w:p>
          <w:p w:rsidR="000A57CC" w:rsidRPr="00675F83" w:rsidRDefault="000A57CC" w:rsidP="00963517">
            <w:pPr>
              <w:adjustRightInd w:val="0"/>
              <w:snapToGrid w:val="0"/>
              <w:spacing w:line="536" w:lineRule="exact"/>
              <w:ind w:firstLine="555"/>
              <w:rPr>
                <w:rFonts w:ascii="宋体" w:hAnsi="宋体"/>
                <w:sz w:val="30"/>
                <w:szCs w:val="30"/>
              </w:rPr>
            </w:pPr>
            <w:r w:rsidRPr="00675F83">
              <w:rPr>
                <w:rFonts w:ascii="宋体" w:hAnsi="宋体" w:hint="eastAsia"/>
                <w:sz w:val="28"/>
                <w:szCs w:val="28"/>
              </w:rPr>
              <w:t>原《担保法》及《物权法》规定未经抵押权人同意不得转让抵押财产，而《民法典》第</w:t>
            </w:r>
            <w:r w:rsidR="00A06613" w:rsidRPr="00675F83">
              <w:rPr>
                <w:rFonts w:ascii="宋体" w:hAnsi="宋体"/>
                <w:sz w:val="28"/>
                <w:szCs w:val="28"/>
              </w:rPr>
              <w:t>四百零六条</w:t>
            </w:r>
            <w:r w:rsidRPr="00675F83">
              <w:rPr>
                <w:rFonts w:ascii="宋体" w:hAnsi="宋体" w:hint="eastAsia"/>
                <w:sz w:val="28"/>
                <w:szCs w:val="28"/>
              </w:rPr>
              <w:t>规定，除当事人另有约定外，抵押人可以直接转让抵押财产，便于抵押财产的流转。抵押权人可以通过事先明确约定禁止或限制转让，并将该约定一并登记，以对抗第三人。</w:t>
            </w:r>
          </w:p>
        </w:tc>
      </w:tr>
    </w:tbl>
    <w:p w:rsidR="00D477CE" w:rsidRPr="00675F83" w:rsidRDefault="00D477CE" w:rsidP="00BD2A3A">
      <w:pPr>
        <w:adjustRightInd w:val="0"/>
        <w:snapToGrid w:val="0"/>
        <w:spacing w:line="360" w:lineRule="auto"/>
        <w:ind w:firstLineChars="200" w:firstLine="602"/>
        <w:rPr>
          <w:rFonts w:ascii="黑体" w:eastAsia="黑体" w:hAnsi="黑体"/>
          <w:b/>
          <w:sz w:val="30"/>
          <w:szCs w:val="30"/>
        </w:rPr>
      </w:pPr>
    </w:p>
    <w:p w:rsidR="000A57CC" w:rsidRPr="00675F83" w:rsidRDefault="00D07664" w:rsidP="00BD2A3A">
      <w:pPr>
        <w:adjustRightInd w:val="0"/>
        <w:snapToGrid w:val="0"/>
        <w:spacing w:line="360" w:lineRule="auto"/>
        <w:ind w:firstLineChars="200" w:firstLine="602"/>
        <w:rPr>
          <w:rFonts w:ascii="黑体" w:eastAsia="黑体" w:hAnsi="黑体"/>
          <w:b/>
          <w:sz w:val="30"/>
          <w:szCs w:val="30"/>
        </w:rPr>
      </w:pPr>
      <w:r w:rsidRPr="00675F83">
        <w:rPr>
          <w:rFonts w:ascii="黑体" w:eastAsia="黑体" w:hAnsi="黑体" w:hint="eastAsia"/>
          <w:b/>
          <w:sz w:val="30"/>
          <w:szCs w:val="30"/>
        </w:rPr>
        <w:t>四、</w:t>
      </w:r>
      <w:r w:rsidR="000A57CC" w:rsidRPr="00675F83">
        <w:rPr>
          <w:rFonts w:ascii="黑体" w:eastAsia="黑体" w:hAnsi="黑体" w:hint="eastAsia"/>
          <w:b/>
          <w:sz w:val="30"/>
          <w:szCs w:val="30"/>
        </w:rPr>
        <w:t>继承</w:t>
      </w:r>
      <w:r w:rsidR="009C7174" w:rsidRPr="00675F83">
        <w:rPr>
          <w:rFonts w:ascii="黑体" w:eastAsia="黑体" w:hAnsi="黑体" w:hint="eastAsia"/>
          <w:b/>
          <w:sz w:val="30"/>
          <w:szCs w:val="30"/>
        </w:rPr>
        <w:t>制度</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4252"/>
      </w:tblGrid>
      <w:tr w:rsidR="000A57CC" w:rsidRPr="00675F83" w:rsidTr="00691D99">
        <w:trPr>
          <w:trHeight w:val="20"/>
        </w:trPr>
        <w:tc>
          <w:tcPr>
            <w:tcW w:w="4361" w:type="dxa"/>
          </w:tcPr>
          <w:p w:rsidR="000A57CC" w:rsidRPr="00675F83" w:rsidRDefault="000A57CC" w:rsidP="0019786B">
            <w:pPr>
              <w:jc w:val="center"/>
              <w:rPr>
                <w:rFonts w:ascii="宋体" w:hAnsi="宋体"/>
                <w:b/>
                <w:sz w:val="30"/>
                <w:szCs w:val="30"/>
              </w:rPr>
            </w:pPr>
            <w:r w:rsidRPr="00675F83">
              <w:rPr>
                <w:rFonts w:ascii="宋体" w:hAnsi="宋体" w:hint="eastAsia"/>
                <w:b/>
                <w:sz w:val="30"/>
                <w:szCs w:val="30"/>
              </w:rPr>
              <w:t>原有规定</w:t>
            </w:r>
          </w:p>
        </w:tc>
        <w:tc>
          <w:tcPr>
            <w:tcW w:w="4252" w:type="dxa"/>
          </w:tcPr>
          <w:p w:rsidR="000A57CC" w:rsidRPr="00675F83" w:rsidRDefault="000A57CC" w:rsidP="0019786B">
            <w:pPr>
              <w:jc w:val="center"/>
              <w:rPr>
                <w:rFonts w:ascii="仿宋" w:eastAsia="仿宋" w:hAnsi="仿宋"/>
                <w:b/>
                <w:sz w:val="28"/>
                <w:szCs w:val="28"/>
              </w:rPr>
            </w:pPr>
            <w:r w:rsidRPr="00675F83">
              <w:rPr>
                <w:rFonts w:ascii="宋体" w:hAnsi="宋体" w:hint="eastAsia"/>
                <w:b/>
                <w:sz w:val="30"/>
                <w:szCs w:val="30"/>
              </w:rPr>
              <w:t>《民法典》</w:t>
            </w:r>
          </w:p>
        </w:tc>
      </w:tr>
      <w:tr w:rsidR="000A57CC" w:rsidRPr="00675F83" w:rsidTr="00691D99">
        <w:trPr>
          <w:trHeight w:val="20"/>
        </w:trPr>
        <w:tc>
          <w:tcPr>
            <w:tcW w:w="4361" w:type="dxa"/>
          </w:tcPr>
          <w:p w:rsidR="000A57CC" w:rsidRPr="00675F83" w:rsidRDefault="00D07664" w:rsidP="00A05A8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（一）</w:t>
            </w:r>
            <w:r w:rsidR="000A57CC" w:rsidRPr="00675F83">
              <w:rPr>
                <w:rFonts w:ascii="楷体" w:eastAsia="楷体" w:hAnsi="楷体" w:hint="eastAsia"/>
                <w:b/>
                <w:sz w:val="30"/>
                <w:szCs w:val="30"/>
              </w:rPr>
              <w:t xml:space="preserve"> 可继承的遗产范围</w:t>
            </w:r>
          </w:p>
          <w:p w:rsidR="000A57CC" w:rsidRPr="00675F83" w:rsidRDefault="000A57CC" w:rsidP="00A05A81">
            <w:pPr>
              <w:adjustRightInd w:val="0"/>
              <w:snapToGrid w:val="0"/>
              <w:spacing w:line="536" w:lineRule="exact"/>
              <w:rPr>
                <w:rFonts w:ascii="宋体" w:hAnsi="宋体"/>
                <w:b/>
                <w:sz w:val="28"/>
                <w:szCs w:val="28"/>
              </w:rPr>
            </w:pPr>
            <w:r w:rsidRPr="00675F83">
              <w:rPr>
                <w:rFonts w:ascii="宋体" w:hAnsi="宋体" w:hint="eastAsia"/>
                <w:b/>
                <w:sz w:val="28"/>
                <w:szCs w:val="28"/>
              </w:rPr>
              <w:t>《继承法》</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第三条</w:t>
            </w:r>
            <w:r w:rsidRPr="00675F83">
              <w:rPr>
                <w:rFonts w:ascii="宋体" w:hAnsi="宋体" w:hint="eastAsia"/>
                <w:sz w:val="28"/>
                <w:szCs w:val="28"/>
              </w:rPr>
              <w:t xml:space="preserve">  遗产是公民死亡时遗留的个人合法财产，包括：</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（一）公民的收入；（二）公民的房屋、储蓄和生活用品；（三）公</w:t>
            </w:r>
            <w:r w:rsidRPr="00675F83">
              <w:rPr>
                <w:rFonts w:ascii="宋体" w:hAnsi="宋体" w:hint="eastAsia"/>
                <w:sz w:val="28"/>
                <w:szCs w:val="28"/>
              </w:rPr>
              <w:lastRenderedPageBreak/>
              <w:t>民的林木、牲畜和家禽；（四）公民的文物、图书资料；（五）法律允许公民所有的生产资料；（六）公民的著作权、专利权中的财产权利；（七）公民的其他合法财产。</w:t>
            </w:r>
          </w:p>
        </w:tc>
        <w:tc>
          <w:tcPr>
            <w:tcW w:w="4252" w:type="dxa"/>
          </w:tcPr>
          <w:p w:rsidR="000A57CC" w:rsidRPr="00675F83" w:rsidRDefault="00D07664" w:rsidP="00A05A8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lastRenderedPageBreak/>
              <w:t>（一）</w:t>
            </w:r>
            <w:r w:rsidR="000A57CC" w:rsidRPr="00675F83">
              <w:rPr>
                <w:rFonts w:ascii="楷体" w:eastAsia="楷体" w:hAnsi="楷体" w:hint="eastAsia"/>
                <w:b/>
                <w:sz w:val="30"/>
                <w:szCs w:val="30"/>
              </w:rPr>
              <w:t>可继承的遗产范围</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 xml:space="preserve">第一千一百二十二条  </w:t>
            </w:r>
            <w:r w:rsidRPr="00675F83">
              <w:rPr>
                <w:rFonts w:ascii="宋体" w:hAnsi="宋体" w:hint="eastAsia"/>
                <w:sz w:val="28"/>
                <w:szCs w:val="28"/>
              </w:rPr>
              <w:t>遗产是自然人死亡时遗留的个人合法财产。</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依照法律规定或者根据其性质不得继承的遗产，不得继承。</w:t>
            </w:r>
          </w:p>
          <w:p w:rsidR="000A57CC" w:rsidRPr="00675F83" w:rsidRDefault="000A57CC" w:rsidP="00A05A81">
            <w:pPr>
              <w:spacing w:line="536" w:lineRule="exact"/>
              <w:rPr>
                <w:rFonts w:ascii="宋体" w:hAnsi="宋体"/>
                <w:b/>
                <w:sz w:val="28"/>
                <w:szCs w:val="28"/>
              </w:rPr>
            </w:pPr>
          </w:p>
        </w:tc>
      </w:tr>
      <w:tr w:rsidR="000A57CC" w:rsidRPr="00675F83" w:rsidTr="00691D99">
        <w:trPr>
          <w:trHeight w:val="20"/>
        </w:trPr>
        <w:tc>
          <w:tcPr>
            <w:tcW w:w="4361" w:type="dxa"/>
          </w:tcPr>
          <w:p w:rsidR="000A57CC" w:rsidRPr="00675F83" w:rsidRDefault="00D07664" w:rsidP="00A05A8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lastRenderedPageBreak/>
              <w:t>（二）</w:t>
            </w:r>
            <w:r w:rsidR="000A57CC" w:rsidRPr="00675F83">
              <w:rPr>
                <w:rFonts w:ascii="楷体" w:eastAsia="楷体" w:hAnsi="楷体" w:hint="eastAsia"/>
                <w:b/>
                <w:sz w:val="30"/>
                <w:szCs w:val="30"/>
              </w:rPr>
              <w:t>代位继承人的范围</w:t>
            </w:r>
          </w:p>
          <w:p w:rsidR="000A57CC" w:rsidRPr="00675F83" w:rsidRDefault="000A57CC" w:rsidP="00A05A81">
            <w:pPr>
              <w:adjustRightInd w:val="0"/>
              <w:snapToGrid w:val="0"/>
              <w:spacing w:line="536" w:lineRule="exact"/>
              <w:rPr>
                <w:rFonts w:ascii="宋体" w:hAnsi="宋体"/>
                <w:b/>
                <w:sz w:val="28"/>
                <w:szCs w:val="28"/>
              </w:rPr>
            </w:pPr>
            <w:r w:rsidRPr="00675F83">
              <w:rPr>
                <w:rFonts w:ascii="宋体" w:hAnsi="宋体" w:hint="eastAsia"/>
                <w:b/>
                <w:sz w:val="28"/>
                <w:szCs w:val="28"/>
              </w:rPr>
              <w:t>《继承法》</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第十一条</w:t>
            </w:r>
            <w:r w:rsidRPr="00675F83">
              <w:rPr>
                <w:rFonts w:ascii="宋体" w:hAnsi="宋体" w:hint="eastAsia"/>
                <w:sz w:val="28"/>
                <w:szCs w:val="28"/>
              </w:rPr>
              <w:t xml:space="preserve"> 被继承人的子女先于被继承人死亡的，由被继承人的子女的晚辈直系血亲代位继承。代位继承人一般只能继承他的父亲或者母亲有权继承的遗产份额。</w:t>
            </w:r>
          </w:p>
          <w:p w:rsidR="000A57CC" w:rsidRPr="00675F83" w:rsidRDefault="000A57CC" w:rsidP="00A05A81">
            <w:pPr>
              <w:spacing w:line="536" w:lineRule="exact"/>
              <w:rPr>
                <w:rFonts w:ascii="宋体" w:hAnsi="宋体"/>
                <w:b/>
                <w:sz w:val="28"/>
                <w:szCs w:val="28"/>
              </w:rPr>
            </w:pPr>
          </w:p>
        </w:tc>
        <w:tc>
          <w:tcPr>
            <w:tcW w:w="4252" w:type="dxa"/>
          </w:tcPr>
          <w:p w:rsidR="000A57CC" w:rsidRPr="00675F83" w:rsidRDefault="00D07664" w:rsidP="00A05A8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（二）</w:t>
            </w:r>
            <w:r w:rsidR="000A57CC" w:rsidRPr="00675F83">
              <w:rPr>
                <w:rFonts w:ascii="楷体" w:eastAsia="楷体" w:hAnsi="楷体" w:hint="eastAsia"/>
                <w:b/>
                <w:sz w:val="30"/>
                <w:szCs w:val="30"/>
              </w:rPr>
              <w:t>代位继承人的范围</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第一千一百二十八条</w:t>
            </w:r>
            <w:r w:rsidRPr="00675F83">
              <w:rPr>
                <w:rFonts w:ascii="宋体" w:hAnsi="宋体" w:hint="eastAsia"/>
                <w:sz w:val="28"/>
                <w:szCs w:val="28"/>
              </w:rPr>
              <w:t xml:space="preserve">  被继承人的子女先于被继承人死亡的，由被继承人的子女的直系晚辈血亲代位继承。</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被继承人的兄弟姐妹先于被继承人死亡的，由被继承人的兄弟姐妹的子女代位继承。</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代位继承人一般只能继承被代位继承人有权继承的遗产份额。</w:t>
            </w:r>
          </w:p>
        </w:tc>
      </w:tr>
      <w:tr w:rsidR="000A57CC" w:rsidRPr="00675F83" w:rsidTr="00691D99">
        <w:trPr>
          <w:trHeight w:val="20"/>
        </w:trPr>
        <w:tc>
          <w:tcPr>
            <w:tcW w:w="4361" w:type="dxa"/>
          </w:tcPr>
          <w:p w:rsidR="000A57CC" w:rsidRPr="00675F83" w:rsidRDefault="00B17732" w:rsidP="00A05A8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（三）</w:t>
            </w:r>
            <w:r w:rsidR="000A57CC" w:rsidRPr="00675F83">
              <w:rPr>
                <w:rFonts w:ascii="楷体" w:eastAsia="楷体" w:hAnsi="楷体" w:hint="eastAsia"/>
                <w:b/>
                <w:sz w:val="30"/>
                <w:szCs w:val="30"/>
              </w:rPr>
              <w:t>丧失继承权事由</w:t>
            </w:r>
          </w:p>
          <w:p w:rsidR="000A57CC" w:rsidRPr="00675F83" w:rsidRDefault="000A57CC" w:rsidP="00A05A81">
            <w:pPr>
              <w:adjustRightInd w:val="0"/>
              <w:snapToGrid w:val="0"/>
              <w:spacing w:line="536" w:lineRule="exact"/>
              <w:rPr>
                <w:rFonts w:ascii="宋体" w:hAnsi="宋体"/>
                <w:b/>
                <w:sz w:val="28"/>
                <w:szCs w:val="28"/>
              </w:rPr>
            </w:pPr>
            <w:r w:rsidRPr="00675F83">
              <w:rPr>
                <w:rFonts w:ascii="宋体" w:hAnsi="宋体" w:hint="eastAsia"/>
                <w:b/>
                <w:sz w:val="28"/>
                <w:szCs w:val="28"/>
              </w:rPr>
              <w:t>《继承法》</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 xml:space="preserve">第七条  </w:t>
            </w:r>
            <w:r w:rsidRPr="00675F83">
              <w:rPr>
                <w:rFonts w:ascii="宋体" w:hAnsi="宋体" w:hint="eastAsia"/>
                <w:sz w:val="28"/>
                <w:szCs w:val="28"/>
              </w:rPr>
              <w:t>继承人有下列行为之一的，丧失继承权：</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（一）故意杀害被继承人的；</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（二）为争夺遗产而杀害其他继承人的；</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（三）遗弃被继承人的，或者虐待被继承人情节严重的；</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（四）伪造、篡改或者销毁遗嘱，情节严重的。</w:t>
            </w:r>
          </w:p>
          <w:p w:rsidR="000A57CC" w:rsidRPr="00675F83" w:rsidRDefault="000A57CC" w:rsidP="00A05A81">
            <w:pPr>
              <w:spacing w:line="536" w:lineRule="exact"/>
              <w:rPr>
                <w:rFonts w:ascii="宋体" w:hAnsi="宋体"/>
                <w:b/>
                <w:sz w:val="28"/>
                <w:szCs w:val="28"/>
              </w:rPr>
            </w:pPr>
          </w:p>
        </w:tc>
        <w:tc>
          <w:tcPr>
            <w:tcW w:w="4252" w:type="dxa"/>
          </w:tcPr>
          <w:p w:rsidR="000A57CC" w:rsidRPr="00675F83" w:rsidRDefault="00B17732" w:rsidP="00A05A8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lastRenderedPageBreak/>
              <w:t>（三）</w:t>
            </w:r>
            <w:r w:rsidR="000A57CC" w:rsidRPr="00675F83">
              <w:rPr>
                <w:rFonts w:ascii="楷体" w:eastAsia="楷体" w:hAnsi="楷体" w:hint="eastAsia"/>
                <w:b/>
                <w:sz w:val="30"/>
                <w:szCs w:val="30"/>
              </w:rPr>
              <w:t>丧失继承权事由</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第一千一百二十五条</w:t>
            </w:r>
            <w:r w:rsidRPr="00675F83">
              <w:rPr>
                <w:rFonts w:ascii="宋体" w:hAnsi="宋体" w:hint="eastAsia"/>
                <w:sz w:val="28"/>
                <w:szCs w:val="28"/>
              </w:rPr>
              <w:t xml:space="preserve">  继承人有下列行为之一的，丧失继承权：</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（一）故意杀害被继承人；</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（二）为争夺遗产而杀害其他继承人；</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（三）遗弃被继承人，或者虐待被继承人情节严重；</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（四）伪造、篡改、隐匿或者销毁遗嘱，情节严重；</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（五）以欺诈、胁迫手段迫使或</w:t>
            </w:r>
            <w:r w:rsidRPr="00675F83">
              <w:rPr>
                <w:rFonts w:ascii="宋体" w:hAnsi="宋体" w:hint="eastAsia"/>
                <w:sz w:val="28"/>
                <w:szCs w:val="28"/>
              </w:rPr>
              <w:lastRenderedPageBreak/>
              <w:t>者妨碍被继承人设立、变更或者撤回遗嘱，情节严重。</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继承人有前款第三项至第五项行为，确有悔改表现，被继承人表示宽恕或者事后在遗嘱中将其列为继承人的，该继承人不丧失继承权。</w:t>
            </w:r>
          </w:p>
        </w:tc>
      </w:tr>
      <w:tr w:rsidR="000A57CC" w:rsidRPr="00675F83" w:rsidTr="00691D99">
        <w:trPr>
          <w:trHeight w:val="20"/>
        </w:trPr>
        <w:tc>
          <w:tcPr>
            <w:tcW w:w="4361" w:type="dxa"/>
          </w:tcPr>
          <w:p w:rsidR="000A57CC" w:rsidRPr="00675F83" w:rsidRDefault="00B17732" w:rsidP="00A05A8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lastRenderedPageBreak/>
              <w:t>（四）</w:t>
            </w:r>
            <w:r w:rsidR="000A57CC" w:rsidRPr="00675F83">
              <w:rPr>
                <w:rFonts w:ascii="楷体" w:eastAsia="楷体" w:hAnsi="楷体" w:hint="eastAsia"/>
                <w:b/>
                <w:sz w:val="30"/>
                <w:szCs w:val="30"/>
              </w:rPr>
              <w:t>遗嘱形式</w:t>
            </w:r>
          </w:p>
          <w:p w:rsidR="000A57CC" w:rsidRPr="00675F83" w:rsidRDefault="000A57CC" w:rsidP="00A05A81">
            <w:pPr>
              <w:adjustRightInd w:val="0"/>
              <w:snapToGrid w:val="0"/>
              <w:spacing w:line="536" w:lineRule="exact"/>
              <w:rPr>
                <w:rFonts w:ascii="宋体" w:hAnsi="宋体"/>
                <w:b/>
                <w:sz w:val="28"/>
                <w:szCs w:val="28"/>
              </w:rPr>
            </w:pPr>
            <w:r w:rsidRPr="00675F83">
              <w:rPr>
                <w:rFonts w:ascii="宋体" w:hAnsi="宋体" w:hint="eastAsia"/>
                <w:b/>
                <w:sz w:val="28"/>
                <w:szCs w:val="28"/>
              </w:rPr>
              <w:t>《继承法》</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第十七条</w:t>
            </w:r>
            <w:r w:rsidRPr="00675F83">
              <w:rPr>
                <w:rFonts w:ascii="宋体" w:hAnsi="宋体" w:hint="eastAsia"/>
                <w:sz w:val="28"/>
                <w:szCs w:val="28"/>
              </w:rPr>
              <w:t xml:space="preserve"> 公证遗嘱由遗嘱人经公证机关办理。</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自书遗嘱由遗嘱人亲笔书写，签名，注明年、月、日。</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代书遗嘱应当有两个以上见证人在场见证，由其中一人代书，注明年、月、日，并由代书人、其他见证人和遗嘱人签名。</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以录音形式立的遗嘱，应当有两个以上见证人在场见证。</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第二十条</w:t>
            </w:r>
            <w:r w:rsidRPr="00675F83">
              <w:rPr>
                <w:rFonts w:ascii="宋体" w:hAnsi="宋体" w:hint="eastAsia"/>
                <w:sz w:val="28"/>
                <w:szCs w:val="28"/>
              </w:rPr>
              <w:t xml:space="preserve"> 遗嘱人可以撤销、变更自己所立的遗嘱。</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立有数份遗嘱，内容相抵触的，以最后的遗嘱为准。</w:t>
            </w:r>
          </w:p>
          <w:p w:rsidR="000A57CC"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自书、代书、录音、口头遗嘱，不得撤销、变更公证遗嘱。</w:t>
            </w:r>
          </w:p>
          <w:p w:rsidR="00D57DA3" w:rsidRPr="00675F83" w:rsidRDefault="00D57DA3" w:rsidP="00A05A81">
            <w:pPr>
              <w:adjustRightInd w:val="0"/>
              <w:snapToGrid w:val="0"/>
              <w:spacing w:line="536" w:lineRule="exact"/>
              <w:rPr>
                <w:rFonts w:ascii="宋体" w:hAnsi="宋体"/>
                <w:sz w:val="28"/>
                <w:szCs w:val="28"/>
              </w:rPr>
            </w:pPr>
          </w:p>
        </w:tc>
        <w:tc>
          <w:tcPr>
            <w:tcW w:w="4252" w:type="dxa"/>
          </w:tcPr>
          <w:p w:rsidR="000A57CC" w:rsidRPr="00675F83" w:rsidRDefault="00B17732" w:rsidP="00A05A8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（四）</w:t>
            </w:r>
            <w:r w:rsidR="000A57CC" w:rsidRPr="00675F83">
              <w:rPr>
                <w:rFonts w:ascii="楷体" w:eastAsia="楷体" w:hAnsi="楷体" w:hint="eastAsia"/>
                <w:b/>
                <w:sz w:val="30"/>
                <w:szCs w:val="30"/>
              </w:rPr>
              <w:t>遗嘱形式</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第一千一百三十六条</w:t>
            </w:r>
            <w:r w:rsidRPr="00675F83">
              <w:rPr>
                <w:rFonts w:ascii="宋体" w:hAnsi="宋体" w:hint="eastAsia"/>
                <w:sz w:val="28"/>
                <w:szCs w:val="28"/>
              </w:rPr>
              <w:t xml:space="preserve">  打印遗嘱应当有两个以上见证人在场见证。遗嘱人和见证人应当在遗嘱每一页签名，注明年、月、日。</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第一千一百三十七条</w:t>
            </w:r>
            <w:r w:rsidRPr="00675F83">
              <w:rPr>
                <w:rFonts w:ascii="宋体" w:hAnsi="宋体" w:hint="eastAsia"/>
                <w:sz w:val="28"/>
                <w:szCs w:val="28"/>
              </w:rPr>
              <w:t xml:space="preserve">  以录音录像形式立的遗嘱，应当有两个以上见证人在场见证。遗嘱人和见证人应当在录音录像中记录其姓名或者肖像，以及年、月、日。</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第一千一百四十二条</w:t>
            </w:r>
            <w:r w:rsidRPr="00675F83">
              <w:rPr>
                <w:rFonts w:ascii="宋体" w:hAnsi="宋体" w:hint="eastAsia"/>
                <w:sz w:val="28"/>
                <w:szCs w:val="28"/>
              </w:rPr>
              <w:t xml:space="preserve">  遗嘱人可以撤回、变更自己所立的遗嘱。</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立遗嘱后，遗嘱人实施与遗嘱内容相反的民事法律行为的，视为对遗嘱相关内容的撤回。</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sz w:val="28"/>
                <w:szCs w:val="28"/>
              </w:rPr>
              <w:t>立有数份遗嘱，内容相抵触的，以最后的遗嘱为准。</w:t>
            </w:r>
          </w:p>
          <w:p w:rsidR="000A57CC" w:rsidRPr="00675F83" w:rsidRDefault="000A57CC" w:rsidP="00A05A81">
            <w:pPr>
              <w:spacing w:line="536" w:lineRule="exact"/>
              <w:rPr>
                <w:rFonts w:ascii="宋体" w:hAnsi="宋体"/>
                <w:b/>
                <w:sz w:val="28"/>
                <w:szCs w:val="28"/>
              </w:rPr>
            </w:pPr>
          </w:p>
        </w:tc>
      </w:tr>
      <w:tr w:rsidR="000A57CC" w:rsidRPr="00675F83" w:rsidTr="00691D99">
        <w:trPr>
          <w:trHeight w:val="20"/>
        </w:trPr>
        <w:tc>
          <w:tcPr>
            <w:tcW w:w="4361" w:type="dxa"/>
          </w:tcPr>
          <w:p w:rsidR="000A57CC" w:rsidRPr="00675F83" w:rsidRDefault="00EF6F44" w:rsidP="00A05A81">
            <w:pPr>
              <w:spacing w:line="536" w:lineRule="exact"/>
              <w:rPr>
                <w:rFonts w:ascii="楷体" w:eastAsia="楷体" w:hAnsi="楷体"/>
                <w:b/>
                <w:sz w:val="30"/>
                <w:szCs w:val="30"/>
              </w:rPr>
            </w:pPr>
            <w:r w:rsidRPr="00675F83">
              <w:rPr>
                <w:rFonts w:ascii="楷体" w:eastAsia="楷体" w:hAnsi="楷体" w:hint="eastAsia"/>
                <w:b/>
                <w:sz w:val="30"/>
                <w:szCs w:val="30"/>
              </w:rPr>
              <w:lastRenderedPageBreak/>
              <w:t>（五）</w:t>
            </w:r>
            <w:r w:rsidR="000A57CC" w:rsidRPr="00675F83">
              <w:rPr>
                <w:rFonts w:ascii="楷体" w:eastAsia="楷体" w:hAnsi="楷体" w:hint="eastAsia"/>
                <w:b/>
                <w:sz w:val="30"/>
                <w:szCs w:val="30"/>
              </w:rPr>
              <w:t>遗产管理人制度</w:t>
            </w:r>
          </w:p>
          <w:p w:rsidR="000A57CC" w:rsidRPr="00675F83" w:rsidRDefault="000A57CC" w:rsidP="00A05A81">
            <w:pPr>
              <w:spacing w:line="536" w:lineRule="exact"/>
              <w:rPr>
                <w:rFonts w:ascii="宋体" w:hAnsi="宋体"/>
                <w:sz w:val="28"/>
                <w:szCs w:val="28"/>
              </w:rPr>
            </w:pPr>
            <w:r w:rsidRPr="00675F83">
              <w:rPr>
                <w:rFonts w:ascii="宋体" w:hAnsi="宋体" w:hint="eastAsia"/>
                <w:sz w:val="28"/>
                <w:szCs w:val="28"/>
              </w:rPr>
              <w:t>《继承法》无规定。</w:t>
            </w:r>
          </w:p>
        </w:tc>
        <w:tc>
          <w:tcPr>
            <w:tcW w:w="4252" w:type="dxa"/>
          </w:tcPr>
          <w:p w:rsidR="000A57CC" w:rsidRPr="00675F83" w:rsidRDefault="00EF6F44" w:rsidP="00A05A8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（五）</w:t>
            </w:r>
            <w:r w:rsidR="000A57CC" w:rsidRPr="00675F83">
              <w:rPr>
                <w:rFonts w:ascii="楷体" w:eastAsia="楷体" w:hAnsi="楷体" w:hint="eastAsia"/>
                <w:b/>
                <w:sz w:val="30"/>
                <w:szCs w:val="30"/>
              </w:rPr>
              <w:t>遗产管理人制度</w:t>
            </w:r>
          </w:p>
          <w:p w:rsidR="000A57CC" w:rsidRPr="00675F83" w:rsidRDefault="000A57CC" w:rsidP="00A05A81">
            <w:pPr>
              <w:adjustRightInd w:val="0"/>
              <w:snapToGrid w:val="0"/>
              <w:spacing w:line="536" w:lineRule="exact"/>
              <w:rPr>
                <w:rFonts w:ascii="宋体" w:hAnsi="宋体"/>
                <w:sz w:val="28"/>
                <w:szCs w:val="28"/>
              </w:rPr>
            </w:pPr>
            <w:r w:rsidRPr="00675F83">
              <w:rPr>
                <w:rFonts w:ascii="宋体" w:hAnsi="宋体" w:hint="eastAsia"/>
                <w:b/>
                <w:sz w:val="28"/>
                <w:szCs w:val="28"/>
              </w:rPr>
              <w:t>第一千一百四十五条</w:t>
            </w:r>
            <w:r w:rsidRPr="00675F83">
              <w:rPr>
                <w:rFonts w:ascii="宋体" w:hAnsi="宋体" w:hint="eastAsia"/>
                <w:sz w:val="28"/>
                <w:szCs w:val="28"/>
              </w:rPr>
              <w:t xml:space="preserve">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tc>
      </w:tr>
      <w:tr w:rsidR="000A57CC" w:rsidRPr="00675F83" w:rsidTr="00691D99">
        <w:trPr>
          <w:trHeight w:val="20"/>
        </w:trPr>
        <w:tc>
          <w:tcPr>
            <w:tcW w:w="8613" w:type="dxa"/>
            <w:gridSpan w:val="2"/>
          </w:tcPr>
          <w:p w:rsidR="000A57CC" w:rsidRPr="00675F83" w:rsidRDefault="000A57CC" w:rsidP="00A05A81">
            <w:pPr>
              <w:adjustRightInd w:val="0"/>
              <w:snapToGrid w:val="0"/>
              <w:spacing w:line="536" w:lineRule="exact"/>
              <w:rPr>
                <w:rFonts w:ascii="楷体" w:eastAsia="楷体" w:hAnsi="楷体"/>
                <w:b/>
                <w:sz w:val="30"/>
                <w:szCs w:val="30"/>
              </w:rPr>
            </w:pPr>
            <w:r w:rsidRPr="00675F83">
              <w:rPr>
                <w:rFonts w:ascii="楷体" w:eastAsia="楷体" w:hAnsi="楷体" w:hint="eastAsia"/>
                <w:b/>
                <w:sz w:val="30"/>
                <w:szCs w:val="30"/>
              </w:rPr>
              <w:t>新法提示：</w:t>
            </w:r>
          </w:p>
          <w:p w:rsidR="000A57CC" w:rsidRPr="00675F83" w:rsidRDefault="000A57CC" w:rsidP="00A05A81">
            <w:pPr>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随着生活水平的不断提高，老年人拥有的财产越来越多，因继承引发的纠纷数量日益增多，如何对财产合理分配以保障家庭和睦，是极具挑战的课题。根据我国家庭的内部结构以及继承观念等的发展变化，《民法典》继承编在原继承法及其司法解释的基础上，修改完善了我国继承制度，从立法角度促进继承人间纠纷的化解。继承编的主要修改有以下几点：</w:t>
            </w:r>
          </w:p>
          <w:p w:rsidR="000A57CC" w:rsidRPr="00675F83" w:rsidRDefault="000A57CC" w:rsidP="00A05A81">
            <w:pPr>
              <w:adjustRightInd w:val="0"/>
              <w:snapToGrid w:val="0"/>
              <w:spacing w:line="536" w:lineRule="exact"/>
              <w:ind w:firstLineChars="200" w:firstLine="562"/>
              <w:rPr>
                <w:rFonts w:ascii="宋体" w:hAnsi="宋体"/>
                <w:b/>
                <w:sz w:val="28"/>
                <w:szCs w:val="28"/>
              </w:rPr>
            </w:pPr>
            <w:r w:rsidRPr="00675F83">
              <w:rPr>
                <w:rFonts w:ascii="宋体" w:hAnsi="宋体" w:hint="eastAsia"/>
                <w:b/>
                <w:sz w:val="28"/>
                <w:szCs w:val="28"/>
              </w:rPr>
              <w:t>1.</w:t>
            </w:r>
            <w:r w:rsidR="00130199" w:rsidRPr="00675F83">
              <w:rPr>
                <w:rFonts w:ascii="宋体" w:hAnsi="宋体" w:hint="eastAsia"/>
                <w:b/>
                <w:sz w:val="28"/>
                <w:szCs w:val="28"/>
              </w:rPr>
              <w:t xml:space="preserve"> </w:t>
            </w:r>
            <w:r w:rsidRPr="00675F83">
              <w:rPr>
                <w:rFonts w:ascii="宋体" w:hAnsi="宋体" w:hint="eastAsia"/>
                <w:b/>
                <w:sz w:val="28"/>
                <w:szCs w:val="28"/>
              </w:rPr>
              <w:t>扩大可继承的遗产范围</w:t>
            </w:r>
          </w:p>
          <w:p w:rsidR="000A57CC" w:rsidRPr="00675F83" w:rsidRDefault="000A57CC" w:rsidP="00A05A81">
            <w:pPr>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随着社会发展，财产类型日益增多，《民法典》删除过去对遗产的列举式规定，采</w:t>
            </w:r>
            <w:r w:rsidR="005E5E60" w:rsidRPr="00675F83">
              <w:rPr>
                <w:rFonts w:ascii="宋体" w:hAnsi="宋体" w:hint="eastAsia"/>
                <w:sz w:val="28"/>
                <w:szCs w:val="28"/>
              </w:rPr>
              <w:t>取概括式认定方式，将虚拟财产及其他形式的财产权益均纳入遗产范围,</w:t>
            </w:r>
            <w:r w:rsidRPr="00675F83">
              <w:rPr>
                <w:rFonts w:ascii="宋体" w:hAnsi="宋体" w:hint="eastAsia"/>
                <w:sz w:val="28"/>
                <w:szCs w:val="28"/>
              </w:rPr>
              <w:t>即老年人死亡后遗留的合法财产都是遗产。</w:t>
            </w:r>
          </w:p>
          <w:p w:rsidR="000A57CC" w:rsidRPr="00675F83" w:rsidRDefault="000A57CC" w:rsidP="00A05A81">
            <w:pPr>
              <w:adjustRightInd w:val="0"/>
              <w:snapToGrid w:val="0"/>
              <w:spacing w:line="536" w:lineRule="exact"/>
              <w:ind w:firstLineChars="200" w:firstLine="562"/>
              <w:rPr>
                <w:rFonts w:ascii="宋体" w:hAnsi="宋体"/>
                <w:b/>
                <w:sz w:val="28"/>
                <w:szCs w:val="28"/>
              </w:rPr>
            </w:pPr>
            <w:r w:rsidRPr="00675F83">
              <w:rPr>
                <w:rFonts w:ascii="宋体" w:hAnsi="宋体" w:hint="eastAsia"/>
                <w:b/>
                <w:sz w:val="28"/>
                <w:szCs w:val="28"/>
              </w:rPr>
              <w:t>2.</w:t>
            </w:r>
            <w:r w:rsidR="00130199" w:rsidRPr="00675F83">
              <w:rPr>
                <w:rFonts w:ascii="宋体" w:hAnsi="宋体" w:hint="eastAsia"/>
                <w:b/>
                <w:sz w:val="28"/>
                <w:szCs w:val="28"/>
              </w:rPr>
              <w:t xml:space="preserve"> </w:t>
            </w:r>
            <w:r w:rsidRPr="00675F83">
              <w:rPr>
                <w:rFonts w:ascii="宋体" w:hAnsi="宋体" w:hint="eastAsia"/>
                <w:b/>
                <w:sz w:val="28"/>
                <w:szCs w:val="28"/>
              </w:rPr>
              <w:t>扩大代位继承人的范围</w:t>
            </w:r>
          </w:p>
          <w:p w:rsidR="000A57CC" w:rsidRPr="00675F83" w:rsidRDefault="000A57CC" w:rsidP="00A05A81">
            <w:pPr>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民法典》突破了原继承法规定的代位继承仅限于晚辈直系血亲的限制，将代位继承人的范围扩大至侄、甥，即被继承人的兄弟姐妹先于被继承人死亡的情形，被继承人兄弟姐妹的子女可获得第二顺位法定继承人的资格。</w:t>
            </w:r>
          </w:p>
          <w:p w:rsidR="000A57CC" w:rsidRPr="00675F83" w:rsidRDefault="000A57CC" w:rsidP="00A05A81">
            <w:pPr>
              <w:adjustRightInd w:val="0"/>
              <w:snapToGrid w:val="0"/>
              <w:spacing w:line="536" w:lineRule="exact"/>
              <w:ind w:firstLineChars="200" w:firstLine="562"/>
              <w:rPr>
                <w:rFonts w:ascii="宋体" w:hAnsi="宋体"/>
                <w:b/>
                <w:sz w:val="28"/>
                <w:szCs w:val="28"/>
              </w:rPr>
            </w:pPr>
            <w:r w:rsidRPr="00675F83">
              <w:rPr>
                <w:rFonts w:ascii="宋体" w:hAnsi="宋体" w:hint="eastAsia"/>
                <w:b/>
                <w:sz w:val="28"/>
                <w:szCs w:val="28"/>
              </w:rPr>
              <w:lastRenderedPageBreak/>
              <w:t>3.</w:t>
            </w:r>
            <w:r w:rsidR="00130199" w:rsidRPr="00675F83">
              <w:rPr>
                <w:rFonts w:ascii="宋体" w:hAnsi="宋体" w:hint="eastAsia"/>
                <w:b/>
                <w:sz w:val="28"/>
                <w:szCs w:val="28"/>
              </w:rPr>
              <w:t xml:space="preserve"> </w:t>
            </w:r>
            <w:r w:rsidRPr="00675F83">
              <w:rPr>
                <w:rFonts w:ascii="宋体" w:hAnsi="宋体" w:hint="eastAsia"/>
                <w:b/>
                <w:sz w:val="28"/>
                <w:szCs w:val="28"/>
              </w:rPr>
              <w:t>新增丧失继承权的事由及宽宥制度</w:t>
            </w:r>
          </w:p>
          <w:p w:rsidR="000A57CC" w:rsidRPr="00675F83" w:rsidRDefault="000A57CC" w:rsidP="00A05A81">
            <w:pPr>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《民法典》新增“欺诈、胁迫被继承人设立、变更或者撤回遗嘱，情节严重的”作为丧失继承权的事由，并对受遗赠人丧失遗赠权的情形进行了规定。同时，</w:t>
            </w:r>
            <w:r w:rsidR="00D57DA3" w:rsidRPr="00117446">
              <w:rPr>
                <w:rFonts w:ascii="宋体" w:hAnsi="宋体" w:hint="eastAsia"/>
                <w:sz w:val="28"/>
                <w:szCs w:val="28"/>
              </w:rPr>
              <w:t>《</w:t>
            </w:r>
            <w:r w:rsidRPr="00117446">
              <w:rPr>
                <w:rFonts w:ascii="宋体" w:hAnsi="宋体" w:hint="eastAsia"/>
                <w:sz w:val="28"/>
                <w:szCs w:val="28"/>
              </w:rPr>
              <w:t>民法典</w:t>
            </w:r>
            <w:r w:rsidR="00D57DA3" w:rsidRPr="00117446">
              <w:rPr>
                <w:rFonts w:ascii="宋体" w:hAnsi="宋体" w:hint="eastAsia"/>
                <w:sz w:val="28"/>
                <w:szCs w:val="28"/>
              </w:rPr>
              <w:t>》</w:t>
            </w:r>
            <w:r w:rsidRPr="00675F83">
              <w:rPr>
                <w:rFonts w:ascii="宋体" w:hAnsi="宋体" w:hint="eastAsia"/>
                <w:sz w:val="28"/>
                <w:szCs w:val="28"/>
              </w:rPr>
              <w:t>新规定了宽宥制度，为尊重被继承人的意愿，如继承人对被继承人实施了违法行为，但被继承人表示原谅，则可恢复已丧失的继承权。</w:t>
            </w:r>
          </w:p>
          <w:p w:rsidR="000A57CC" w:rsidRPr="00675F83" w:rsidRDefault="000A57CC" w:rsidP="00A05A81">
            <w:pPr>
              <w:adjustRightInd w:val="0"/>
              <w:snapToGrid w:val="0"/>
              <w:spacing w:line="536" w:lineRule="exact"/>
              <w:ind w:firstLineChars="200" w:firstLine="562"/>
              <w:rPr>
                <w:rFonts w:ascii="宋体" w:hAnsi="宋体"/>
                <w:b/>
                <w:sz w:val="28"/>
                <w:szCs w:val="28"/>
              </w:rPr>
            </w:pPr>
            <w:r w:rsidRPr="00675F83">
              <w:rPr>
                <w:rFonts w:ascii="宋体" w:hAnsi="宋体" w:hint="eastAsia"/>
                <w:b/>
                <w:sz w:val="28"/>
                <w:szCs w:val="28"/>
              </w:rPr>
              <w:t>4.</w:t>
            </w:r>
            <w:r w:rsidR="00130199" w:rsidRPr="00675F83">
              <w:rPr>
                <w:rFonts w:ascii="宋体" w:hAnsi="宋体" w:hint="eastAsia"/>
                <w:b/>
                <w:sz w:val="28"/>
                <w:szCs w:val="28"/>
              </w:rPr>
              <w:t xml:space="preserve"> </w:t>
            </w:r>
            <w:r w:rsidRPr="00675F83">
              <w:rPr>
                <w:rFonts w:ascii="宋体" w:hAnsi="宋体" w:hint="eastAsia"/>
                <w:b/>
                <w:sz w:val="28"/>
                <w:szCs w:val="28"/>
              </w:rPr>
              <w:t>增设新的遗嘱形式，取消公证遗嘱的效力优先性</w:t>
            </w:r>
          </w:p>
          <w:p w:rsidR="000A57CC" w:rsidRPr="00675F83" w:rsidRDefault="000A57CC" w:rsidP="00A05A81">
            <w:pPr>
              <w:adjustRightInd w:val="0"/>
              <w:snapToGrid w:val="0"/>
              <w:spacing w:line="536" w:lineRule="exact"/>
              <w:ind w:firstLineChars="200" w:firstLine="560"/>
              <w:rPr>
                <w:rFonts w:ascii="宋体" w:hAnsi="宋体"/>
                <w:sz w:val="28"/>
                <w:szCs w:val="28"/>
              </w:rPr>
            </w:pPr>
            <w:r w:rsidRPr="00675F83">
              <w:rPr>
                <w:rFonts w:ascii="宋体" w:hAnsi="宋体" w:hint="eastAsia"/>
                <w:sz w:val="28"/>
                <w:szCs w:val="28"/>
              </w:rPr>
              <w:t>相较于原继承法，《民法典》将打印遗嘱、录像遗嘱增设为法定的遗嘱形式。原继承法</w:t>
            </w:r>
            <w:r w:rsidR="005E5E60" w:rsidRPr="00675F83">
              <w:rPr>
                <w:rFonts w:ascii="宋体" w:hAnsi="宋体" w:hint="eastAsia"/>
                <w:sz w:val="28"/>
                <w:szCs w:val="28"/>
              </w:rPr>
              <w:t>规定公证遗嘱的效力具有优先性，且只有公证遗嘱才可推翻原公证遗嘱。</w:t>
            </w:r>
            <w:r w:rsidRPr="00675F83">
              <w:rPr>
                <w:rFonts w:ascii="宋体" w:hAnsi="宋体" w:hint="eastAsia"/>
                <w:sz w:val="28"/>
                <w:szCs w:val="28"/>
              </w:rPr>
              <w:t>为保护当事人的意思自治，《民法典》对此进行了修改，删除了公证遗嘱效力优先的规定。</w:t>
            </w:r>
          </w:p>
          <w:p w:rsidR="000A57CC" w:rsidRPr="00675F83" w:rsidRDefault="000A57CC" w:rsidP="00A05A81">
            <w:pPr>
              <w:adjustRightInd w:val="0"/>
              <w:snapToGrid w:val="0"/>
              <w:spacing w:line="536" w:lineRule="exact"/>
              <w:ind w:firstLineChars="200" w:firstLine="562"/>
              <w:rPr>
                <w:rFonts w:ascii="宋体" w:hAnsi="宋体"/>
                <w:b/>
                <w:sz w:val="28"/>
                <w:szCs w:val="28"/>
              </w:rPr>
            </w:pPr>
            <w:r w:rsidRPr="00675F83">
              <w:rPr>
                <w:rFonts w:ascii="宋体" w:hAnsi="宋体" w:hint="eastAsia"/>
                <w:b/>
                <w:sz w:val="28"/>
                <w:szCs w:val="28"/>
              </w:rPr>
              <w:t>5.</w:t>
            </w:r>
            <w:r w:rsidR="00130199" w:rsidRPr="00675F83">
              <w:rPr>
                <w:rFonts w:ascii="宋体" w:hAnsi="宋体" w:hint="eastAsia"/>
                <w:b/>
                <w:sz w:val="28"/>
                <w:szCs w:val="28"/>
              </w:rPr>
              <w:t xml:space="preserve"> </w:t>
            </w:r>
            <w:r w:rsidRPr="00675F83">
              <w:rPr>
                <w:rFonts w:ascii="宋体" w:hAnsi="宋体" w:hint="eastAsia"/>
                <w:b/>
                <w:sz w:val="28"/>
                <w:szCs w:val="28"/>
              </w:rPr>
              <w:t>新增遗产管理人制度</w:t>
            </w:r>
          </w:p>
          <w:p w:rsidR="000A57CC" w:rsidRPr="00675F83" w:rsidRDefault="000A57CC" w:rsidP="00A05A81">
            <w:pPr>
              <w:adjustRightInd w:val="0"/>
              <w:snapToGrid w:val="0"/>
              <w:spacing w:line="536" w:lineRule="exact"/>
              <w:ind w:firstLineChars="200" w:firstLine="560"/>
              <w:rPr>
                <w:rFonts w:ascii="宋体" w:hAnsi="宋体"/>
                <w:sz w:val="30"/>
                <w:szCs w:val="30"/>
              </w:rPr>
            </w:pPr>
            <w:r w:rsidRPr="00675F83">
              <w:rPr>
                <w:rFonts w:ascii="宋体" w:hAnsi="宋体" w:hint="eastAsia"/>
                <w:sz w:val="28"/>
                <w:szCs w:val="28"/>
              </w:rPr>
              <w:t>《民法典》第</w:t>
            </w:r>
            <w:r w:rsidR="001E455E" w:rsidRPr="00675F83">
              <w:rPr>
                <w:rFonts w:ascii="宋体" w:hAnsi="宋体" w:hint="eastAsia"/>
                <w:sz w:val="28"/>
                <w:szCs w:val="28"/>
              </w:rPr>
              <w:t>一千一百四十五</w:t>
            </w:r>
            <w:r w:rsidRPr="00675F83">
              <w:rPr>
                <w:rFonts w:ascii="宋体" w:hAnsi="宋体" w:hint="eastAsia"/>
                <w:sz w:val="28"/>
                <w:szCs w:val="28"/>
              </w:rPr>
              <w:t>条至</w:t>
            </w:r>
            <w:r w:rsidR="001E455E" w:rsidRPr="00675F83">
              <w:rPr>
                <w:rFonts w:ascii="宋体" w:hAnsi="宋体" w:hint="eastAsia"/>
                <w:sz w:val="28"/>
                <w:szCs w:val="28"/>
              </w:rPr>
              <w:t>第一千一百四十九</w:t>
            </w:r>
            <w:r w:rsidRPr="00675F83">
              <w:rPr>
                <w:rFonts w:ascii="宋体" w:hAnsi="宋体" w:hint="eastAsia"/>
                <w:sz w:val="28"/>
                <w:szCs w:val="28"/>
              </w:rPr>
              <w:t>条从遗产管理人的选任、指定、职责范围、未尽职责的民事责任及报酬请求权等方面构建了遗产管理人制度的框架，赋予遗产管理人分割遗产、处理债权债务等职责，以完善继承制度，更好地保护各继承人及债权人的利益。</w:t>
            </w:r>
          </w:p>
        </w:tc>
      </w:tr>
    </w:tbl>
    <w:p w:rsidR="000A57CC" w:rsidRPr="00675F83" w:rsidRDefault="000A57CC" w:rsidP="00D765F9">
      <w:pPr>
        <w:spacing w:line="20" w:lineRule="exact"/>
        <w:ind w:firstLineChars="200" w:firstLine="600"/>
        <w:rPr>
          <w:rFonts w:ascii="仿宋" w:eastAsia="仿宋" w:hAnsi="仿宋"/>
          <w:sz w:val="30"/>
          <w:szCs w:val="30"/>
        </w:rPr>
      </w:pPr>
    </w:p>
    <w:sectPr w:rsidR="000A57CC" w:rsidRPr="00675F83" w:rsidSect="00927CFD">
      <w:footerReference w:type="even" r:id="rId16"/>
      <w:footerReference w:type="default" r:id="rId17"/>
      <w:pgSz w:w="11906" w:h="16838"/>
      <w:pgMar w:top="1440" w:right="1800" w:bottom="127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475" w:rsidRDefault="00854475">
      <w:r>
        <w:separator/>
      </w:r>
    </w:p>
  </w:endnote>
  <w:endnote w:type="continuationSeparator" w:id="1">
    <w:p w:rsidR="00854475" w:rsidRDefault="00854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D4" w:rsidRDefault="00774CB5">
    <w:pPr>
      <w:pStyle w:val="a3"/>
    </w:pPr>
    <w:fldSimple w:instr=" PAGE   \* MERGEFORMAT ">
      <w:r w:rsidR="00390EB0" w:rsidRPr="00390EB0">
        <w:rPr>
          <w:noProof/>
          <w:lang w:val="zh-CN"/>
        </w:rPr>
        <w:t>2</w:t>
      </w:r>
    </w:fldSimple>
  </w:p>
  <w:p w:rsidR="009B69D4" w:rsidRDefault="009B69D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D4" w:rsidRDefault="00774CB5">
    <w:pPr>
      <w:pStyle w:val="a3"/>
      <w:jc w:val="right"/>
    </w:pPr>
    <w:fldSimple w:instr=" PAGE   \* MERGEFORMAT ">
      <w:r w:rsidR="00390EB0" w:rsidRPr="00390EB0">
        <w:rPr>
          <w:noProof/>
          <w:lang w:val="zh-CN"/>
        </w:rPr>
        <w:t>1</w:t>
      </w:r>
    </w:fldSimple>
  </w:p>
  <w:p w:rsidR="009B69D4" w:rsidRDefault="009B69D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475" w:rsidRDefault="00854475">
      <w:r>
        <w:separator/>
      </w:r>
    </w:p>
  </w:footnote>
  <w:footnote w:type="continuationSeparator" w:id="1">
    <w:p w:rsidR="00854475" w:rsidRDefault="00854475">
      <w:r>
        <w:continuationSeparator/>
      </w:r>
    </w:p>
  </w:footnote>
  <w:footnote w:id="2">
    <w:p w:rsidR="000D2338" w:rsidRDefault="000D2338" w:rsidP="000D2338">
      <w:pPr>
        <w:pStyle w:val="a6"/>
      </w:pPr>
      <w:r>
        <w:rPr>
          <w:rStyle w:val="a5"/>
        </w:rPr>
        <w:footnoteRef/>
      </w:r>
      <w:r>
        <w:rPr>
          <w:rFonts w:hint="eastAsia"/>
        </w:rPr>
        <w:t xml:space="preserve"> </w:t>
      </w:r>
      <w:r>
        <w:rPr>
          <w:rFonts w:hint="eastAsia"/>
        </w:rPr>
        <w:t>在一案涉多名老年人的情况下，统计的年龄为该案所有老年人的平均年龄。</w:t>
      </w:r>
    </w:p>
    <w:p w:rsidR="000D2338" w:rsidRPr="0090783C" w:rsidRDefault="000D2338" w:rsidP="000D2338">
      <w:pPr>
        <w:pStyle w:val="a6"/>
      </w:pPr>
    </w:p>
  </w:footnote>
  <w:footnote w:id="3">
    <w:p w:rsidR="000A57CC" w:rsidRPr="00117446" w:rsidRDefault="000A57CC" w:rsidP="000A57CC">
      <w:pPr>
        <w:pStyle w:val="a6"/>
      </w:pPr>
      <w:r>
        <w:rPr>
          <w:rStyle w:val="a5"/>
        </w:rPr>
        <w:footnoteRef/>
      </w:r>
      <w:r>
        <w:rPr>
          <w:rFonts w:hint="eastAsia"/>
        </w:rPr>
        <w:t xml:space="preserve"> </w:t>
      </w:r>
      <w:r w:rsidR="00D57DA3" w:rsidRPr="00117446">
        <w:rPr>
          <w:rFonts w:hint="eastAsia"/>
        </w:rPr>
        <w:t>《最高人民法院关于适用</w:t>
      </w:r>
      <w:r w:rsidR="00D57DA3" w:rsidRPr="00117446">
        <w:rPr>
          <w:rFonts w:hint="eastAsia"/>
        </w:rPr>
        <w:t>&lt;</w:t>
      </w:r>
      <w:r w:rsidR="00D57DA3" w:rsidRPr="00117446">
        <w:rPr>
          <w:rFonts w:hint="eastAsia"/>
        </w:rPr>
        <w:t>中华人民共和国担保法</w:t>
      </w:r>
      <w:r w:rsidR="00D57DA3" w:rsidRPr="00117446">
        <w:rPr>
          <w:rFonts w:hint="eastAsia"/>
        </w:rPr>
        <w:t>&gt;</w:t>
      </w:r>
      <w:r w:rsidRPr="00117446">
        <w:rPr>
          <w:rFonts w:hint="eastAsia"/>
        </w:rPr>
        <w:t>若干问题的解释</w:t>
      </w:r>
      <w:r w:rsidR="00D57DA3" w:rsidRPr="00117446">
        <w:rPr>
          <w:rFonts w:hint="eastAsia"/>
        </w:rPr>
        <w:t>》</w:t>
      </w:r>
      <w:r w:rsidRPr="00117446">
        <w:rPr>
          <w:rFonts w:hint="eastAsia"/>
        </w:rPr>
        <w:t>简称《担保法》司法解释。</w:t>
      </w:r>
    </w:p>
  </w:footnote>
  <w:footnote w:id="4">
    <w:p w:rsidR="000A57CC" w:rsidRPr="00117446" w:rsidRDefault="000A57CC" w:rsidP="000A57CC">
      <w:pPr>
        <w:pStyle w:val="a6"/>
      </w:pPr>
      <w:r>
        <w:rPr>
          <w:rStyle w:val="a5"/>
        </w:rPr>
        <w:footnoteRef/>
      </w:r>
      <w:r>
        <w:rPr>
          <w:rFonts w:hint="eastAsia"/>
        </w:rPr>
        <w:t xml:space="preserve"> </w:t>
      </w:r>
      <w:r w:rsidR="00D57DA3" w:rsidRPr="00117446">
        <w:rPr>
          <w:rFonts w:hint="eastAsia"/>
        </w:rPr>
        <w:t>《最高人民法院关于适用</w:t>
      </w:r>
      <w:r w:rsidR="00D57DA3" w:rsidRPr="00117446">
        <w:rPr>
          <w:rFonts w:hint="eastAsia"/>
        </w:rPr>
        <w:t>&lt;</w:t>
      </w:r>
      <w:r w:rsidRPr="00117446">
        <w:rPr>
          <w:rFonts w:hint="eastAsia"/>
        </w:rPr>
        <w:t>中华人民共和国民法典</w:t>
      </w:r>
      <w:r w:rsidR="00D57DA3" w:rsidRPr="00117446">
        <w:rPr>
          <w:rFonts w:hint="eastAsia"/>
        </w:rPr>
        <w:t>&gt;</w:t>
      </w:r>
      <w:r w:rsidRPr="00117446">
        <w:rPr>
          <w:rFonts w:hint="eastAsia"/>
        </w:rPr>
        <w:t>有关担保制度的解释</w:t>
      </w:r>
      <w:r w:rsidR="00D57DA3" w:rsidRPr="00117446">
        <w:rPr>
          <w:rFonts w:hint="eastAsia"/>
        </w:rPr>
        <w:t>》</w:t>
      </w:r>
      <w:r w:rsidRPr="00117446">
        <w:rPr>
          <w:rFonts w:hint="eastAsia"/>
        </w:rPr>
        <w:t>简称《民法典》担保制度司法解释。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2D0E"/>
    <w:multiLevelType w:val="hybridMultilevel"/>
    <w:tmpl w:val="3B300A16"/>
    <w:lvl w:ilvl="0" w:tplc="F55A1788">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46A26728"/>
    <w:multiLevelType w:val="multilevel"/>
    <w:tmpl w:val="D1E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1CBD"/>
    <w:rsid w:val="00001181"/>
    <w:rsid w:val="00002A66"/>
    <w:rsid w:val="00002B48"/>
    <w:rsid w:val="00002E2A"/>
    <w:rsid w:val="00003326"/>
    <w:rsid w:val="00003E83"/>
    <w:rsid w:val="00003FDA"/>
    <w:rsid w:val="0000646C"/>
    <w:rsid w:val="000068F6"/>
    <w:rsid w:val="00007426"/>
    <w:rsid w:val="000075FD"/>
    <w:rsid w:val="00007FB2"/>
    <w:rsid w:val="000104DD"/>
    <w:rsid w:val="00010AFB"/>
    <w:rsid w:val="0001210A"/>
    <w:rsid w:val="0001361D"/>
    <w:rsid w:val="00014CEE"/>
    <w:rsid w:val="00014F7E"/>
    <w:rsid w:val="000175D1"/>
    <w:rsid w:val="00017994"/>
    <w:rsid w:val="000204C4"/>
    <w:rsid w:val="00021FB5"/>
    <w:rsid w:val="00022236"/>
    <w:rsid w:val="00022378"/>
    <w:rsid w:val="00022D57"/>
    <w:rsid w:val="0002319E"/>
    <w:rsid w:val="00025331"/>
    <w:rsid w:val="00025A4B"/>
    <w:rsid w:val="0002603E"/>
    <w:rsid w:val="00026167"/>
    <w:rsid w:val="00027385"/>
    <w:rsid w:val="000274FC"/>
    <w:rsid w:val="00027C6B"/>
    <w:rsid w:val="00031D62"/>
    <w:rsid w:val="00031E1E"/>
    <w:rsid w:val="00031EEC"/>
    <w:rsid w:val="0003256C"/>
    <w:rsid w:val="00032BD9"/>
    <w:rsid w:val="00032D62"/>
    <w:rsid w:val="00032FC9"/>
    <w:rsid w:val="000346AE"/>
    <w:rsid w:val="00040EA2"/>
    <w:rsid w:val="00041A55"/>
    <w:rsid w:val="00041CBF"/>
    <w:rsid w:val="00041E02"/>
    <w:rsid w:val="00043A00"/>
    <w:rsid w:val="000440D0"/>
    <w:rsid w:val="00044301"/>
    <w:rsid w:val="00044A08"/>
    <w:rsid w:val="0004565A"/>
    <w:rsid w:val="0004571B"/>
    <w:rsid w:val="00046313"/>
    <w:rsid w:val="00047B9D"/>
    <w:rsid w:val="0005000B"/>
    <w:rsid w:val="0005015D"/>
    <w:rsid w:val="000505A0"/>
    <w:rsid w:val="00050C46"/>
    <w:rsid w:val="00051737"/>
    <w:rsid w:val="00052549"/>
    <w:rsid w:val="00052DB3"/>
    <w:rsid w:val="00053004"/>
    <w:rsid w:val="00053486"/>
    <w:rsid w:val="00053791"/>
    <w:rsid w:val="00055845"/>
    <w:rsid w:val="00055D9E"/>
    <w:rsid w:val="00057080"/>
    <w:rsid w:val="00057E6D"/>
    <w:rsid w:val="00060323"/>
    <w:rsid w:val="000605B8"/>
    <w:rsid w:val="00061156"/>
    <w:rsid w:val="000616BB"/>
    <w:rsid w:val="0006212B"/>
    <w:rsid w:val="0006230D"/>
    <w:rsid w:val="00062438"/>
    <w:rsid w:val="00062DC9"/>
    <w:rsid w:val="00063008"/>
    <w:rsid w:val="0006349D"/>
    <w:rsid w:val="000642A6"/>
    <w:rsid w:val="000661A6"/>
    <w:rsid w:val="000677D2"/>
    <w:rsid w:val="000678C7"/>
    <w:rsid w:val="00067FFC"/>
    <w:rsid w:val="00070EE1"/>
    <w:rsid w:val="000715CA"/>
    <w:rsid w:val="0007160A"/>
    <w:rsid w:val="00071689"/>
    <w:rsid w:val="0007244D"/>
    <w:rsid w:val="000729A9"/>
    <w:rsid w:val="00072B47"/>
    <w:rsid w:val="00072B9D"/>
    <w:rsid w:val="00073B30"/>
    <w:rsid w:val="00073EA2"/>
    <w:rsid w:val="0007442C"/>
    <w:rsid w:val="00075172"/>
    <w:rsid w:val="000751AA"/>
    <w:rsid w:val="000753A7"/>
    <w:rsid w:val="000757DF"/>
    <w:rsid w:val="00075FEB"/>
    <w:rsid w:val="000760E8"/>
    <w:rsid w:val="00076288"/>
    <w:rsid w:val="000768F0"/>
    <w:rsid w:val="00076A32"/>
    <w:rsid w:val="00077A64"/>
    <w:rsid w:val="000806B9"/>
    <w:rsid w:val="00082152"/>
    <w:rsid w:val="00082D44"/>
    <w:rsid w:val="0008759C"/>
    <w:rsid w:val="00090823"/>
    <w:rsid w:val="00091057"/>
    <w:rsid w:val="00092184"/>
    <w:rsid w:val="0009278F"/>
    <w:rsid w:val="00092A82"/>
    <w:rsid w:val="00092FC4"/>
    <w:rsid w:val="00094AF1"/>
    <w:rsid w:val="00094D12"/>
    <w:rsid w:val="00096267"/>
    <w:rsid w:val="000970B6"/>
    <w:rsid w:val="000A0845"/>
    <w:rsid w:val="000A0BC2"/>
    <w:rsid w:val="000A57CC"/>
    <w:rsid w:val="000A5C72"/>
    <w:rsid w:val="000A728E"/>
    <w:rsid w:val="000A7A9E"/>
    <w:rsid w:val="000B0AF2"/>
    <w:rsid w:val="000B1438"/>
    <w:rsid w:val="000B2034"/>
    <w:rsid w:val="000B5217"/>
    <w:rsid w:val="000B55D3"/>
    <w:rsid w:val="000B6244"/>
    <w:rsid w:val="000B7EAB"/>
    <w:rsid w:val="000C0487"/>
    <w:rsid w:val="000C0733"/>
    <w:rsid w:val="000C149E"/>
    <w:rsid w:val="000C16A0"/>
    <w:rsid w:val="000C2478"/>
    <w:rsid w:val="000C24A8"/>
    <w:rsid w:val="000C3BFB"/>
    <w:rsid w:val="000C7364"/>
    <w:rsid w:val="000C74FC"/>
    <w:rsid w:val="000C7570"/>
    <w:rsid w:val="000C78DE"/>
    <w:rsid w:val="000D08F1"/>
    <w:rsid w:val="000D0EDC"/>
    <w:rsid w:val="000D1088"/>
    <w:rsid w:val="000D22DD"/>
    <w:rsid w:val="000D2338"/>
    <w:rsid w:val="000D2E0C"/>
    <w:rsid w:val="000D4763"/>
    <w:rsid w:val="000D4CFE"/>
    <w:rsid w:val="000D67E6"/>
    <w:rsid w:val="000D689B"/>
    <w:rsid w:val="000D7FA2"/>
    <w:rsid w:val="000E0716"/>
    <w:rsid w:val="000E0844"/>
    <w:rsid w:val="000E0B27"/>
    <w:rsid w:val="000E1D53"/>
    <w:rsid w:val="000E60CD"/>
    <w:rsid w:val="000E6ADC"/>
    <w:rsid w:val="000E7FAC"/>
    <w:rsid w:val="000F57D4"/>
    <w:rsid w:val="000F5D50"/>
    <w:rsid w:val="000F66A9"/>
    <w:rsid w:val="000F717A"/>
    <w:rsid w:val="001005F6"/>
    <w:rsid w:val="001020C0"/>
    <w:rsid w:val="001036A4"/>
    <w:rsid w:val="00104125"/>
    <w:rsid w:val="0010455F"/>
    <w:rsid w:val="00105901"/>
    <w:rsid w:val="0010679F"/>
    <w:rsid w:val="00106F65"/>
    <w:rsid w:val="001118A9"/>
    <w:rsid w:val="0011485A"/>
    <w:rsid w:val="001149A6"/>
    <w:rsid w:val="00115245"/>
    <w:rsid w:val="00115276"/>
    <w:rsid w:val="00115ECC"/>
    <w:rsid w:val="0011678C"/>
    <w:rsid w:val="00117446"/>
    <w:rsid w:val="00117A74"/>
    <w:rsid w:val="001209AE"/>
    <w:rsid w:val="00121120"/>
    <w:rsid w:val="001211CF"/>
    <w:rsid w:val="001215D9"/>
    <w:rsid w:val="00121878"/>
    <w:rsid w:val="00121F16"/>
    <w:rsid w:val="00122A04"/>
    <w:rsid w:val="00122ED6"/>
    <w:rsid w:val="00122F12"/>
    <w:rsid w:val="00124C0B"/>
    <w:rsid w:val="001267ED"/>
    <w:rsid w:val="00126C17"/>
    <w:rsid w:val="00126CBF"/>
    <w:rsid w:val="00130199"/>
    <w:rsid w:val="00132BDB"/>
    <w:rsid w:val="001330DA"/>
    <w:rsid w:val="00133CFB"/>
    <w:rsid w:val="00133FD7"/>
    <w:rsid w:val="00141A69"/>
    <w:rsid w:val="001449E5"/>
    <w:rsid w:val="00151D7D"/>
    <w:rsid w:val="0015220E"/>
    <w:rsid w:val="00153B63"/>
    <w:rsid w:val="00153C4A"/>
    <w:rsid w:val="001541C2"/>
    <w:rsid w:val="00154BB3"/>
    <w:rsid w:val="00156202"/>
    <w:rsid w:val="00156A10"/>
    <w:rsid w:val="001578FE"/>
    <w:rsid w:val="00157CA3"/>
    <w:rsid w:val="00160076"/>
    <w:rsid w:val="00160CC9"/>
    <w:rsid w:val="00161453"/>
    <w:rsid w:val="0016320F"/>
    <w:rsid w:val="00164ABC"/>
    <w:rsid w:val="00164D79"/>
    <w:rsid w:val="00165637"/>
    <w:rsid w:val="0016639E"/>
    <w:rsid w:val="00170971"/>
    <w:rsid w:val="0017155F"/>
    <w:rsid w:val="00173891"/>
    <w:rsid w:val="00175092"/>
    <w:rsid w:val="00176D24"/>
    <w:rsid w:val="00177F71"/>
    <w:rsid w:val="00180AE9"/>
    <w:rsid w:val="00180F19"/>
    <w:rsid w:val="001822BA"/>
    <w:rsid w:val="00182A28"/>
    <w:rsid w:val="00182A8B"/>
    <w:rsid w:val="00182BB1"/>
    <w:rsid w:val="00183158"/>
    <w:rsid w:val="001838A9"/>
    <w:rsid w:val="00184E41"/>
    <w:rsid w:val="00185196"/>
    <w:rsid w:val="001854A7"/>
    <w:rsid w:val="00185CC2"/>
    <w:rsid w:val="00186EE1"/>
    <w:rsid w:val="00187644"/>
    <w:rsid w:val="001900FB"/>
    <w:rsid w:val="00190B00"/>
    <w:rsid w:val="00191957"/>
    <w:rsid w:val="001924D7"/>
    <w:rsid w:val="00192615"/>
    <w:rsid w:val="00192EF2"/>
    <w:rsid w:val="00194E94"/>
    <w:rsid w:val="00195548"/>
    <w:rsid w:val="00195E94"/>
    <w:rsid w:val="001968C8"/>
    <w:rsid w:val="00197098"/>
    <w:rsid w:val="001A0019"/>
    <w:rsid w:val="001A207C"/>
    <w:rsid w:val="001A27B1"/>
    <w:rsid w:val="001A3436"/>
    <w:rsid w:val="001A66F3"/>
    <w:rsid w:val="001A6D60"/>
    <w:rsid w:val="001B0083"/>
    <w:rsid w:val="001B14B8"/>
    <w:rsid w:val="001B1ECE"/>
    <w:rsid w:val="001B22B8"/>
    <w:rsid w:val="001B4CC2"/>
    <w:rsid w:val="001B75F6"/>
    <w:rsid w:val="001C0198"/>
    <w:rsid w:val="001C04DE"/>
    <w:rsid w:val="001C0554"/>
    <w:rsid w:val="001C0BD6"/>
    <w:rsid w:val="001C1364"/>
    <w:rsid w:val="001C1BF8"/>
    <w:rsid w:val="001C2277"/>
    <w:rsid w:val="001C2AFB"/>
    <w:rsid w:val="001C3774"/>
    <w:rsid w:val="001C3940"/>
    <w:rsid w:val="001C55D6"/>
    <w:rsid w:val="001C58B7"/>
    <w:rsid w:val="001C5E1F"/>
    <w:rsid w:val="001C62FD"/>
    <w:rsid w:val="001C6D30"/>
    <w:rsid w:val="001C755D"/>
    <w:rsid w:val="001C769F"/>
    <w:rsid w:val="001D009D"/>
    <w:rsid w:val="001D0C67"/>
    <w:rsid w:val="001D284F"/>
    <w:rsid w:val="001D2F46"/>
    <w:rsid w:val="001D466B"/>
    <w:rsid w:val="001D4BC2"/>
    <w:rsid w:val="001D5B0A"/>
    <w:rsid w:val="001D65F3"/>
    <w:rsid w:val="001D7839"/>
    <w:rsid w:val="001E00EE"/>
    <w:rsid w:val="001E1E4F"/>
    <w:rsid w:val="001E4007"/>
    <w:rsid w:val="001E455E"/>
    <w:rsid w:val="001E5939"/>
    <w:rsid w:val="001E6D71"/>
    <w:rsid w:val="001E6EC7"/>
    <w:rsid w:val="001E7059"/>
    <w:rsid w:val="001E7BB6"/>
    <w:rsid w:val="001E7ED4"/>
    <w:rsid w:val="001F16D9"/>
    <w:rsid w:val="001F1720"/>
    <w:rsid w:val="001F4FE9"/>
    <w:rsid w:val="001F600E"/>
    <w:rsid w:val="001F63F1"/>
    <w:rsid w:val="001F6B68"/>
    <w:rsid w:val="002014EA"/>
    <w:rsid w:val="00204B81"/>
    <w:rsid w:val="00206C7F"/>
    <w:rsid w:val="00206D2B"/>
    <w:rsid w:val="00207918"/>
    <w:rsid w:val="00211C57"/>
    <w:rsid w:val="002125CE"/>
    <w:rsid w:val="00216A2A"/>
    <w:rsid w:val="0021781E"/>
    <w:rsid w:val="00220750"/>
    <w:rsid w:val="00221C77"/>
    <w:rsid w:val="00222DF4"/>
    <w:rsid w:val="00223072"/>
    <w:rsid w:val="002237BB"/>
    <w:rsid w:val="00223849"/>
    <w:rsid w:val="00227183"/>
    <w:rsid w:val="002306AA"/>
    <w:rsid w:val="00230F51"/>
    <w:rsid w:val="00232AC4"/>
    <w:rsid w:val="0023410B"/>
    <w:rsid w:val="002343EA"/>
    <w:rsid w:val="0023454A"/>
    <w:rsid w:val="00236B43"/>
    <w:rsid w:val="002378CD"/>
    <w:rsid w:val="002379C3"/>
    <w:rsid w:val="0024036F"/>
    <w:rsid w:val="0024483E"/>
    <w:rsid w:val="00244CDD"/>
    <w:rsid w:val="0024649F"/>
    <w:rsid w:val="0025191A"/>
    <w:rsid w:val="00251A2E"/>
    <w:rsid w:val="00251D7E"/>
    <w:rsid w:val="00251F9B"/>
    <w:rsid w:val="00253E2F"/>
    <w:rsid w:val="00253EF6"/>
    <w:rsid w:val="00255C33"/>
    <w:rsid w:val="00256805"/>
    <w:rsid w:val="00257B9B"/>
    <w:rsid w:val="00257E6F"/>
    <w:rsid w:val="00261AA4"/>
    <w:rsid w:val="00263CF7"/>
    <w:rsid w:val="00264B7A"/>
    <w:rsid w:val="0026680E"/>
    <w:rsid w:val="00267246"/>
    <w:rsid w:val="00267DA0"/>
    <w:rsid w:val="00271A8C"/>
    <w:rsid w:val="00273D76"/>
    <w:rsid w:val="0027469F"/>
    <w:rsid w:val="00275509"/>
    <w:rsid w:val="00276BE4"/>
    <w:rsid w:val="00277664"/>
    <w:rsid w:val="00277F62"/>
    <w:rsid w:val="00280859"/>
    <w:rsid w:val="00280BBD"/>
    <w:rsid w:val="002832A8"/>
    <w:rsid w:val="00284185"/>
    <w:rsid w:val="002846B2"/>
    <w:rsid w:val="0028486E"/>
    <w:rsid w:val="00284D3C"/>
    <w:rsid w:val="00291E84"/>
    <w:rsid w:val="0029294A"/>
    <w:rsid w:val="00292C54"/>
    <w:rsid w:val="00293322"/>
    <w:rsid w:val="002951FA"/>
    <w:rsid w:val="00295290"/>
    <w:rsid w:val="00295965"/>
    <w:rsid w:val="00296493"/>
    <w:rsid w:val="002A04D9"/>
    <w:rsid w:val="002A096F"/>
    <w:rsid w:val="002A150C"/>
    <w:rsid w:val="002A222D"/>
    <w:rsid w:val="002A25D2"/>
    <w:rsid w:val="002A2995"/>
    <w:rsid w:val="002A2E7C"/>
    <w:rsid w:val="002A3938"/>
    <w:rsid w:val="002A3F2F"/>
    <w:rsid w:val="002A58DB"/>
    <w:rsid w:val="002A5E8E"/>
    <w:rsid w:val="002A6687"/>
    <w:rsid w:val="002A6C14"/>
    <w:rsid w:val="002B10F1"/>
    <w:rsid w:val="002B1998"/>
    <w:rsid w:val="002B238F"/>
    <w:rsid w:val="002B2F4B"/>
    <w:rsid w:val="002B384B"/>
    <w:rsid w:val="002B54D9"/>
    <w:rsid w:val="002B599E"/>
    <w:rsid w:val="002B5CC1"/>
    <w:rsid w:val="002B685C"/>
    <w:rsid w:val="002C1132"/>
    <w:rsid w:val="002C14B9"/>
    <w:rsid w:val="002C1556"/>
    <w:rsid w:val="002C1849"/>
    <w:rsid w:val="002C1DFF"/>
    <w:rsid w:val="002C1F2E"/>
    <w:rsid w:val="002C520D"/>
    <w:rsid w:val="002C5C79"/>
    <w:rsid w:val="002C672E"/>
    <w:rsid w:val="002D3B5D"/>
    <w:rsid w:val="002D529F"/>
    <w:rsid w:val="002D606E"/>
    <w:rsid w:val="002D61DC"/>
    <w:rsid w:val="002D74FF"/>
    <w:rsid w:val="002D7E1D"/>
    <w:rsid w:val="002E0713"/>
    <w:rsid w:val="002E10CF"/>
    <w:rsid w:val="002E1106"/>
    <w:rsid w:val="002E114F"/>
    <w:rsid w:val="002E203A"/>
    <w:rsid w:val="002E4012"/>
    <w:rsid w:val="002E405B"/>
    <w:rsid w:val="002E4B1F"/>
    <w:rsid w:val="002E5079"/>
    <w:rsid w:val="002E549E"/>
    <w:rsid w:val="002F05CE"/>
    <w:rsid w:val="002F103A"/>
    <w:rsid w:val="002F286E"/>
    <w:rsid w:val="002F68AC"/>
    <w:rsid w:val="002F6BE2"/>
    <w:rsid w:val="002F6BEC"/>
    <w:rsid w:val="002F6F49"/>
    <w:rsid w:val="002F7517"/>
    <w:rsid w:val="003007BE"/>
    <w:rsid w:val="00300E10"/>
    <w:rsid w:val="00301AED"/>
    <w:rsid w:val="00302118"/>
    <w:rsid w:val="00302C46"/>
    <w:rsid w:val="00303C11"/>
    <w:rsid w:val="003040EC"/>
    <w:rsid w:val="0030418F"/>
    <w:rsid w:val="003067B8"/>
    <w:rsid w:val="00307775"/>
    <w:rsid w:val="00307BAB"/>
    <w:rsid w:val="00310596"/>
    <w:rsid w:val="00310810"/>
    <w:rsid w:val="00311CE0"/>
    <w:rsid w:val="00311F13"/>
    <w:rsid w:val="0031292A"/>
    <w:rsid w:val="00314102"/>
    <w:rsid w:val="00314515"/>
    <w:rsid w:val="00314CC8"/>
    <w:rsid w:val="00315BC7"/>
    <w:rsid w:val="003160FE"/>
    <w:rsid w:val="00320975"/>
    <w:rsid w:val="00320DD6"/>
    <w:rsid w:val="00321449"/>
    <w:rsid w:val="0032171B"/>
    <w:rsid w:val="00322092"/>
    <w:rsid w:val="00322C09"/>
    <w:rsid w:val="00322FD4"/>
    <w:rsid w:val="00323B9E"/>
    <w:rsid w:val="00324572"/>
    <w:rsid w:val="00324D85"/>
    <w:rsid w:val="00326B27"/>
    <w:rsid w:val="00327064"/>
    <w:rsid w:val="00330677"/>
    <w:rsid w:val="00331F76"/>
    <w:rsid w:val="003327FD"/>
    <w:rsid w:val="00332C34"/>
    <w:rsid w:val="00334AB7"/>
    <w:rsid w:val="00335C11"/>
    <w:rsid w:val="00335E96"/>
    <w:rsid w:val="003369A2"/>
    <w:rsid w:val="00337225"/>
    <w:rsid w:val="00342E9A"/>
    <w:rsid w:val="00343EA8"/>
    <w:rsid w:val="003445B1"/>
    <w:rsid w:val="003463FB"/>
    <w:rsid w:val="003466CD"/>
    <w:rsid w:val="00346999"/>
    <w:rsid w:val="00347D04"/>
    <w:rsid w:val="0035035B"/>
    <w:rsid w:val="003521A6"/>
    <w:rsid w:val="003523DC"/>
    <w:rsid w:val="00352448"/>
    <w:rsid w:val="00352C27"/>
    <w:rsid w:val="00352D9D"/>
    <w:rsid w:val="0035321D"/>
    <w:rsid w:val="003534A9"/>
    <w:rsid w:val="00353643"/>
    <w:rsid w:val="00354198"/>
    <w:rsid w:val="003564E6"/>
    <w:rsid w:val="00360130"/>
    <w:rsid w:val="00360734"/>
    <w:rsid w:val="00361667"/>
    <w:rsid w:val="003623C7"/>
    <w:rsid w:val="003625A2"/>
    <w:rsid w:val="00363ABB"/>
    <w:rsid w:val="00363BC8"/>
    <w:rsid w:val="00363E49"/>
    <w:rsid w:val="00365923"/>
    <w:rsid w:val="0037273C"/>
    <w:rsid w:val="0037284A"/>
    <w:rsid w:val="003729D1"/>
    <w:rsid w:val="003737F7"/>
    <w:rsid w:val="003740FF"/>
    <w:rsid w:val="00374657"/>
    <w:rsid w:val="00374CDA"/>
    <w:rsid w:val="0037539E"/>
    <w:rsid w:val="0037562B"/>
    <w:rsid w:val="003758E5"/>
    <w:rsid w:val="00376925"/>
    <w:rsid w:val="00376A49"/>
    <w:rsid w:val="0038266B"/>
    <w:rsid w:val="00382D35"/>
    <w:rsid w:val="00385C49"/>
    <w:rsid w:val="003860B9"/>
    <w:rsid w:val="003862E5"/>
    <w:rsid w:val="00390EB0"/>
    <w:rsid w:val="003930FA"/>
    <w:rsid w:val="00393DA1"/>
    <w:rsid w:val="0039419D"/>
    <w:rsid w:val="0039476F"/>
    <w:rsid w:val="00394FBF"/>
    <w:rsid w:val="00395826"/>
    <w:rsid w:val="00395CFD"/>
    <w:rsid w:val="0039644D"/>
    <w:rsid w:val="00397121"/>
    <w:rsid w:val="0039714B"/>
    <w:rsid w:val="003A18EA"/>
    <w:rsid w:val="003A2589"/>
    <w:rsid w:val="003A2DF5"/>
    <w:rsid w:val="003A3075"/>
    <w:rsid w:val="003A74CD"/>
    <w:rsid w:val="003B2CF2"/>
    <w:rsid w:val="003B33EB"/>
    <w:rsid w:val="003B5E48"/>
    <w:rsid w:val="003B6525"/>
    <w:rsid w:val="003B6E03"/>
    <w:rsid w:val="003B6FE5"/>
    <w:rsid w:val="003C1D86"/>
    <w:rsid w:val="003C2580"/>
    <w:rsid w:val="003C33F0"/>
    <w:rsid w:val="003C38CA"/>
    <w:rsid w:val="003C583C"/>
    <w:rsid w:val="003C6506"/>
    <w:rsid w:val="003C6664"/>
    <w:rsid w:val="003C7928"/>
    <w:rsid w:val="003D0D1E"/>
    <w:rsid w:val="003D4B6E"/>
    <w:rsid w:val="003D513C"/>
    <w:rsid w:val="003D53E8"/>
    <w:rsid w:val="003D56B3"/>
    <w:rsid w:val="003D5C55"/>
    <w:rsid w:val="003D6BE6"/>
    <w:rsid w:val="003D798E"/>
    <w:rsid w:val="003E059A"/>
    <w:rsid w:val="003E0694"/>
    <w:rsid w:val="003E15F7"/>
    <w:rsid w:val="003E3A6C"/>
    <w:rsid w:val="003E4A8E"/>
    <w:rsid w:val="003E6358"/>
    <w:rsid w:val="003E6525"/>
    <w:rsid w:val="003E7B5D"/>
    <w:rsid w:val="003E7E50"/>
    <w:rsid w:val="003F1438"/>
    <w:rsid w:val="003F1925"/>
    <w:rsid w:val="003F2CF0"/>
    <w:rsid w:val="003F6B08"/>
    <w:rsid w:val="003F737E"/>
    <w:rsid w:val="00400245"/>
    <w:rsid w:val="00400395"/>
    <w:rsid w:val="00401911"/>
    <w:rsid w:val="004020D3"/>
    <w:rsid w:val="00402327"/>
    <w:rsid w:val="004025B8"/>
    <w:rsid w:val="00403366"/>
    <w:rsid w:val="00405397"/>
    <w:rsid w:val="00407379"/>
    <w:rsid w:val="0041012A"/>
    <w:rsid w:val="0041093F"/>
    <w:rsid w:val="0041114B"/>
    <w:rsid w:val="00411446"/>
    <w:rsid w:val="0041148C"/>
    <w:rsid w:val="004114C7"/>
    <w:rsid w:val="00411ACE"/>
    <w:rsid w:val="004130A2"/>
    <w:rsid w:val="00415466"/>
    <w:rsid w:val="0041570E"/>
    <w:rsid w:val="004157F8"/>
    <w:rsid w:val="00415EB7"/>
    <w:rsid w:val="0041640D"/>
    <w:rsid w:val="00416AD1"/>
    <w:rsid w:val="004170B4"/>
    <w:rsid w:val="00420141"/>
    <w:rsid w:val="00420502"/>
    <w:rsid w:val="004222BA"/>
    <w:rsid w:val="00422601"/>
    <w:rsid w:val="0042297B"/>
    <w:rsid w:val="00422C74"/>
    <w:rsid w:val="00424469"/>
    <w:rsid w:val="00425E5F"/>
    <w:rsid w:val="0043060C"/>
    <w:rsid w:val="00431527"/>
    <w:rsid w:val="00431FF2"/>
    <w:rsid w:val="004339B3"/>
    <w:rsid w:val="00433F6F"/>
    <w:rsid w:val="00436621"/>
    <w:rsid w:val="00436EDD"/>
    <w:rsid w:val="00437CBB"/>
    <w:rsid w:val="00437D23"/>
    <w:rsid w:val="00441549"/>
    <w:rsid w:val="00442795"/>
    <w:rsid w:val="00442B71"/>
    <w:rsid w:val="0044345E"/>
    <w:rsid w:val="0044351F"/>
    <w:rsid w:val="0044582B"/>
    <w:rsid w:val="0044592F"/>
    <w:rsid w:val="00446D8E"/>
    <w:rsid w:val="0045031F"/>
    <w:rsid w:val="00450844"/>
    <w:rsid w:val="00450A22"/>
    <w:rsid w:val="0045188A"/>
    <w:rsid w:val="00451F1C"/>
    <w:rsid w:val="00452A71"/>
    <w:rsid w:val="00453A1D"/>
    <w:rsid w:val="00454C23"/>
    <w:rsid w:val="00455ECA"/>
    <w:rsid w:val="0045679F"/>
    <w:rsid w:val="0046003B"/>
    <w:rsid w:val="004606B2"/>
    <w:rsid w:val="00460D3B"/>
    <w:rsid w:val="00460F4E"/>
    <w:rsid w:val="004610FB"/>
    <w:rsid w:val="004614BA"/>
    <w:rsid w:val="0046429A"/>
    <w:rsid w:val="00465642"/>
    <w:rsid w:val="004662CA"/>
    <w:rsid w:val="004662F9"/>
    <w:rsid w:val="00466BD2"/>
    <w:rsid w:val="00467462"/>
    <w:rsid w:val="00467D54"/>
    <w:rsid w:val="004705D4"/>
    <w:rsid w:val="0047342E"/>
    <w:rsid w:val="0047698B"/>
    <w:rsid w:val="00476F67"/>
    <w:rsid w:val="004772ED"/>
    <w:rsid w:val="004827DA"/>
    <w:rsid w:val="004832C3"/>
    <w:rsid w:val="00483DDC"/>
    <w:rsid w:val="004847C4"/>
    <w:rsid w:val="00484AE1"/>
    <w:rsid w:val="0049126D"/>
    <w:rsid w:val="00491B57"/>
    <w:rsid w:val="004937ED"/>
    <w:rsid w:val="004939C1"/>
    <w:rsid w:val="00493F67"/>
    <w:rsid w:val="00495A9F"/>
    <w:rsid w:val="00496739"/>
    <w:rsid w:val="00497142"/>
    <w:rsid w:val="0049751E"/>
    <w:rsid w:val="00497BAD"/>
    <w:rsid w:val="004A0335"/>
    <w:rsid w:val="004A11A4"/>
    <w:rsid w:val="004A4538"/>
    <w:rsid w:val="004A5FB3"/>
    <w:rsid w:val="004A6074"/>
    <w:rsid w:val="004A6D13"/>
    <w:rsid w:val="004A6F6D"/>
    <w:rsid w:val="004A7CD8"/>
    <w:rsid w:val="004B06F0"/>
    <w:rsid w:val="004B094E"/>
    <w:rsid w:val="004B12FA"/>
    <w:rsid w:val="004B337D"/>
    <w:rsid w:val="004B37DC"/>
    <w:rsid w:val="004B69AF"/>
    <w:rsid w:val="004B6C86"/>
    <w:rsid w:val="004C085E"/>
    <w:rsid w:val="004C10E6"/>
    <w:rsid w:val="004C10E7"/>
    <w:rsid w:val="004C23C9"/>
    <w:rsid w:val="004C293D"/>
    <w:rsid w:val="004C2CC6"/>
    <w:rsid w:val="004C6211"/>
    <w:rsid w:val="004C78E1"/>
    <w:rsid w:val="004D1A08"/>
    <w:rsid w:val="004D25A6"/>
    <w:rsid w:val="004D2C8E"/>
    <w:rsid w:val="004D2D62"/>
    <w:rsid w:val="004D4115"/>
    <w:rsid w:val="004D5134"/>
    <w:rsid w:val="004D6F2A"/>
    <w:rsid w:val="004E079B"/>
    <w:rsid w:val="004E29E7"/>
    <w:rsid w:val="004E5E33"/>
    <w:rsid w:val="004E66D4"/>
    <w:rsid w:val="004E6B4A"/>
    <w:rsid w:val="004E6E7C"/>
    <w:rsid w:val="004F2489"/>
    <w:rsid w:val="004F254A"/>
    <w:rsid w:val="004F25B8"/>
    <w:rsid w:val="004F2D51"/>
    <w:rsid w:val="004F3C51"/>
    <w:rsid w:val="004F4241"/>
    <w:rsid w:val="004F4553"/>
    <w:rsid w:val="004F478E"/>
    <w:rsid w:val="004F5F24"/>
    <w:rsid w:val="004F6A73"/>
    <w:rsid w:val="004F7919"/>
    <w:rsid w:val="004F7C8C"/>
    <w:rsid w:val="004F7E0D"/>
    <w:rsid w:val="005004FD"/>
    <w:rsid w:val="00501442"/>
    <w:rsid w:val="00501EB6"/>
    <w:rsid w:val="0050269F"/>
    <w:rsid w:val="00503231"/>
    <w:rsid w:val="005036CA"/>
    <w:rsid w:val="005036E5"/>
    <w:rsid w:val="00503797"/>
    <w:rsid w:val="00503FDC"/>
    <w:rsid w:val="00504293"/>
    <w:rsid w:val="00504CD4"/>
    <w:rsid w:val="0050508F"/>
    <w:rsid w:val="00507695"/>
    <w:rsid w:val="005107CD"/>
    <w:rsid w:val="00510CD2"/>
    <w:rsid w:val="00511C99"/>
    <w:rsid w:val="00512ECD"/>
    <w:rsid w:val="005151E8"/>
    <w:rsid w:val="0051623E"/>
    <w:rsid w:val="00517A16"/>
    <w:rsid w:val="005222B8"/>
    <w:rsid w:val="005222BC"/>
    <w:rsid w:val="00524305"/>
    <w:rsid w:val="005243A3"/>
    <w:rsid w:val="005244FB"/>
    <w:rsid w:val="00524749"/>
    <w:rsid w:val="005256CA"/>
    <w:rsid w:val="0052717C"/>
    <w:rsid w:val="00527CEF"/>
    <w:rsid w:val="0053101D"/>
    <w:rsid w:val="005323E4"/>
    <w:rsid w:val="00532442"/>
    <w:rsid w:val="00533E1B"/>
    <w:rsid w:val="00534FD3"/>
    <w:rsid w:val="00535F17"/>
    <w:rsid w:val="0054161D"/>
    <w:rsid w:val="00541DEA"/>
    <w:rsid w:val="00542D24"/>
    <w:rsid w:val="0054320C"/>
    <w:rsid w:val="00544A7E"/>
    <w:rsid w:val="00544FEC"/>
    <w:rsid w:val="00545185"/>
    <w:rsid w:val="005454E4"/>
    <w:rsid w:val="005458EA"/>
    <w:rsid w:val="0054630F"/>
    <w:rsid w:val="00547AA7"/>
    <w:rsid w:val="00550505"/>
    <w:rsid w:val="00550A3D"/>
    <w:rsid w:val="005513D7"/>
    <w:rsid w:val="005541E2"/>
    <w:rsid w:val="00554271"/>
    <w:rsid w:val="005543E7"/>
    <w:rsid w:val="00554F41"/>
    <w:rsid w:val="00555034"/>
    <w:rsid w:val="00555237"/>
    <w:rsid w:val="00556051"/>
    <w:rsid w:val="00556594"/>
    <w:rsid w:val="00556A66"/>
    <w:rsid w:val="00557FCA"/>
    <w:rsid w:val="005607AA"/>
    <w:rsid w:val="00561EED"/>
    <w:rsid w:val="005652C8"/>
    <w:rsid w:val="005656C6"/>
    <w:rsid w:val="005659AB"/>
    <w:rsid w:val="0057001D"/>
    <w:rsid w:val="00570CE5"/>
    <w:rsid w:val="00570DD6"/>
    <w:rsid w:val="005740DF"/>
    <w:rsid w:val="00574563"/>
    <w:rsid w:val="0057470D"/>
    <w:rsid w:val="00575C2C"/>
    <w:rsid w:val="00575C98"/>
    <w:rsid w:val="00576DD5"/>
    <w:rsid w:val="00577282"/>
    <w:rsid w:val="00580226"/>
    <w:rsid w:val="00580B44"/>
    <w:rsid w:val="00580DD7"/>
    <w:rsid w:val="00583247"/>
    <w:rsid w:val="0058388C"/>
    <w:rsid w:val="00583ECD"/>
    <w:rsid w:val="00583F6D"/>
    <w:rsid w:val="0058401E"/>
    <w:rsid w:val="00584B07"/>
    <w:rsid w:val="0058529C"/>
    <w:rsid w:val="005858D2"/>
    <w:rsid w:val="005866DF"/>
    <w:rsid w:val="005868A4"/>
    <w:rsid w:val="00590748"/>
    <w:rsid w:val="0059081C"/>
    <w:rsid w:val="0059191D"/>
    <w:rsid w:val="0059194B"/>
    <w:rsid w:val="0059371A"/>
    <w:rsid w:val="0059441D"/>
    <w:rsid w:val="00595183"/>
    <w:rsid w:val="005958BF"/>
    <w:rsid w:val="005962A4"/>
    <w:rsid w:val="005A0069"/>
    <w:rsid w:val="005A0149"/>
    <w:rsid w:val="005A0240"/>
    <w:rsid w:val="005A1F1D"/>
    <w:rsid w:val="005A2069"/>
    <w:rsid w:val="005A2197"/>
    <w:rsid w:val="005A2B44"/>
    <w:rsid w:val="005A2CF3"/>
    <w:rsid w:val="005A337C"/>
    <w:rsid w:val="005A3918"/>
    <w:rsid w:val="005B06BC"/>
    <w:rsid w:val="005B3B70"/>
    <w:rsid w:val="005B41E9"/>
    <w:rsid w:val="005B7E38"/>
    <w:rsid w:val="005C027E"/>
    <w:rsid w:val="005C1E77"/>
    <w:rsid w:val="005C2BBF"/>
    <w:rsid w:val="005C39A8"/>
    <w:rsid w:val="005C3BF1"/>
    <w:rsid w:val="005C48E7"/>
    <w:rsid w:val="005C5CAA"/>
    <w:rsid w:val="005C5E9E"/>
    <w:rsid w:val="005C72D1"/>
    <w:rsid w:val="005D05F9"/>
    <w:rsid w:val="005D0C09"/>
    <w:rsid w:val="005D1205"/>
    <w:rsid w:val="005D12DF"/>
    <w:rsid w:val="005D13BE"/>
    <w:rsid w:val="005D294A"/>
    <w:rsid w:val="005D3CEA"/>
    <w:rsid w:val="005D40AC"/>
    <w:rsid w:val="005D5507"/>
    <w:rsid w:val="005D60C4"/>
    <w:rsid w:val="005D614E"/>
    <w:rsid w:val="005D680F"/>
    <w:rsid w:val="005D6A71"/>
    <w:rsid w:val="005D6C15"/>
    <w:rsid w:val="005D7911"/>
    <w:rsid w:val="005D79A5"/>
    <w:rsid w:val="005D7B45"/>
    <w:rsid w:val="005E1195"/>
    <w:rsid w:val="005E2B7F"/>
    <w:rsid w:val="005E3729"/>
    <w:rsid w:val="005E3850"/>
    <w:rsid w:val="005E5E60"/>
    <w:rsid w:val="005F0FC2"/>
    <w:rsid w:val="005F4156"/>
    <w:rsid w:val="005F4B95"/>
    <w:rsid w:val="005F52FF"/>
    <w:rsid w:val="005F59B6"/>
    <w:rsid w:val="005F607A"/>
    <w:rsid w:val="00603428"/>
    <w:rsid w:val="006041FD"/>
    <w:rsid w:val="00604285"/>
    <w:rsid w:val="00604BD3"/>
    <w:rsid w:val="006064E3"/>
    <w:rsid w:val="00606670"/>
    <w:rsid w:val="00606A19"/>
    <w:rsid w:val="00606ACF"/>
    <w:rsid w:val="00606EDE"/>
    <w:rsid w:val="00607F0D"/>
    <w:rsid w:val="0061011E"/>
    <w:rsid w:val="00611D5E"/>
    <w:rsid w:val="00612466"/>
    <w:rsid w:val="006148B8"/>
    <w:rsid w:val="00614D1B"/>
    <w:rsid w:val="00615B6F"/>
    <w:rsid w:val="0061673D"/>
    <w:rsid w:val="00616949"/>
    <w:rsid w:val="00617135"/>
    <w:rsid w:val="006176AB"/>
    <w:rsid w:val="006179D4"/>
    <w:rsid w:val="00617E9F"/>
    <w:rsid w:val="006203AD"/>
    <w:rsid w:val="006218B5"/>
    <w:rsid w:val="00622700"/>
    <w:rsid w:val="00622D2C"/>
    <w:rsid w:val="00623C84"/>
    <w:rsid w:val="00624206"/>
    <w:rsid w:val="0062549D"/>
    <w:rsid w:val="00625678"/>
    <w:rsid w:val="00627076"/>
    <w:rsid w:val="006300A1"/>
    <w:rsid w:val="006300E4"/>
    <w:rsid w:val="00630755"/>
    <w:rsid w:val="006310AC"/>
    <w:rsid w:val="00632E56"/>
    <w:rsid w:val="0063324C"/>
    <w:rsid w:val="00633D91"/>
    <w:rsid w:val="00635700"/>
    <w:rsid w:val="00635D5B"/>
    <w:rsid w:val="00636039"/>
    <w:rsid w:val="0063729D"/>
    <w:rsid w:val="0063729E"/>
    <w:rsid w:val="0064160D"/>
    <w:rsid w:val="00641A18"/>
    <w:rsid w:val="00642B06"/>
    <w:rsid w:val="00643AA3"/>
    <w:rsid w:val="00645520"/>
    <w:rsid w:val="0064563F"/>
    <w:rsid w:val="006469F0"/>
    <w:rsid w:val="00646C19"/>
    <w:rsid w:val="0065002B"/>
    <w:rsid w:val="0065198C"/>
    <w:rsid w:val="006520A4"/>
    <w:rsid w:val="00652B4A"/>
    <w:rsid w:val="006562CD"/>
    <w:rsid w:val="00656CDF"/>
    <w:rsid w:val="00660619"/>
    <w:rsid w:val="00661018"/>
    <w:rsid w:val="0066115F"/>
    <w:rsid w:val="0066128B"/>
    <w:rsid w:val="00663CEB"/>
    <w:rsid w:val="00664ED1"/>
    <w:rsid w:val="006650F0"/>
    <w:rsid w:val="00666DBE"/>
    <w:rsid w:val="00666DD8"/>
    <w:rsid w:val="00667C4E"/>
    <w:rsid w:val="00671B89"/>
    <w:rsid w:val="00672767"/>
    <w:rsid w:val="006735F1"/>
    <w:rsid w:val="00673954"/>
    <w:rsid w:val="00675F83"/>
    <w:rsid w:val="0068112F"/>
    <w:rsid w:val="00681504"/>
    <w:rsid w:val="006817C2"/>
    <w:rsid w:val="00682F4C"/>
    <w:rsid w:val="00685C81"/>
    <w:rsid w:val="006869D2"/>
    <w:rsid w:val="00686FA8"/>
    <w:rsid w:val="006870A3"/>
    <w:rsid w:val="00687327"/>
    <w:rsid w:val="0069098F"/>
    <w:rsid w:val="00691D99"/>
    <w:rsid w:val="006944E7"/>
    <w:rsid w:val="00694E45"/>
    <w:rsid w:val="00697504"/>
    <w:rsid w:val="006A0A08"/>
    <w:rsid w:val="006A2053"/>
    <w:rsid w:val="006A23EC"/>
    <w:rsid w:val="006A25B7"/>
    <w:rsid w:val="006A63F6"/>
    <w:rsid w:val="006A6CBF"/>
    <w:rsid w:val="006A7D60"/>
    <w:rsid w:val="006B032F"/>
    <w:rsid w:val="006B1199"/>
    <w:rsid w:val="006B1838"/>
    <w:rsid w:val="006B1A23"/>
    <w:rsid w:val="006B2155"/>
    <w:rsid w:val="006B34CD"/>
    <w:rsid w:val="006B4BC4"/>
    <w:rsid w:val="006B565A"/>
    <w:rsid w:val="006B6C73"/>
    <w:rsid w:val="006C128F"/>
    <w:rsid w:val="006C191E"/>
    <w:rsid w:val="006C28A6"/>
    <w:rsid w:val="006C2DCA"/>
    <w:rsid w:val="006C2EB5"/>
    <w:rsid w:val="006C3401"/>
    <w:rsid w:val="006C383C"/>
    <w:rsid w:val="006C429A"/>
    <w:rsid w:val="006C479F"/>
    <w:rsid w:val="006C541A"/>
    <w:rsid w:val="006C55D9"/>
    <w:rsid w:val="006C6211"/>
    <w:rsid w:val="006C7720"/>
    <w:rsid w:val="006D0AD8"/>
    <w:rsid w:val="006D10DE"/>
    <w:rsid w:val="006D2B09"/>
    <w:rsid w:val="006D3322"/>
    <w:rsid w:val="006D37E1"/>
    <w:rsid w:val="006D3891"/>
    <w:rsid w:val="006E18EA"/>
    <w:rsid w:val="006E2360"/>
    <w:rsid w:val="006E27DA"/>
    <w:rsid w:val="006E3D7F"/>
    <w:rsid w:val="006E450B"/>
    <w:rsid w:val="006E551C"/>
    <w:rsid w:val="006E5D51"/>
    <w:rsid w:val="006E61C2"/>
    <w:rsid w:val="006E7383"/>
    <w:rsid w:val="006E7798"/>
    <w:rsid w:val="006F07D2"/>
    <w:rsid w:val="006F1519"/>
    <w:rsid w:val="006F531B"/>
    <w:rsid w:val="006F5CC4"/>
    <w:rsid w:val="006F6CC1"/>
    <w:rsid w:val="006F70A3"/>
    <w:rsid w:val="00702EF3"/>
    <w:rsid w:val="0070460E"/>
    <w:rsid w:val="00704664"/>
    <w:rsid w:val="00704A54"/>
    <w:rsid w:val="0070627B"/>
    <w:rsid w:val="0070693C"/>
    <w:rsid w:val="00706E1F"/>
    <w:rsid w:val="00710301"/>
    <w:rsid w:val="00710DAA"/>
    <w:rsid w:val="007110EF"/>
    <w:rsid w:val="007119C0"/>
    <w:rsid w:val="007138F7"/>
    <w:rsid w:val="007147B9"/>
    <w:rsid w:val="007150D1"/>
    <w:rsid w:val="007155A2"/>
    <w:rsid w:val="007176C5"/>
    <w:rsid w:val="007220D9"/>
    <w:rsid w:val="00722256"/>
    <w:rsid w:val="00722958"/>
    <w:rsid w:val="00722D1B"/>
    <w:rsid w:val="007263A0"/>
    <w:rsid w:val="00726692"/>
    <w:rsid w:val="0073006D"/>
    <w:rsid w:val="007307F3"/>
    <w:rsid w:val="00731CBD"/>
    <w:rsid w:val="007330DE"/>
    <w:rsid w:val="007346F5"/>
    <w:rsid w:val="00734E83"/>
    <w:rsid w:val="0073550B"/>
    <w:rsid w:val="00737372"/>
    <w:rsid w:val="007373DD"/>
    <w:rsid w:val="00740496"/>
    <w:rsid w:val="00740C23"/>
    <w:rsid w:val="00740CDD"/>
    <w:rsid w:val="00740ECD"/>
    <w:rsid w:val="007410A8"/>
    <w:rsid w:val="007416CA"/>
    <w:rsid w:val="007473D8"/>
    <w:rsid w:val="00747613"/>
    <w:rsid w:val="0075024D"/>
    <w:rsid w:val="007513CF"/>
    <w:rsid w:val="0075278A"/>
    <w:rsid w:val="00753D20"/>
    <w:rsid w:val="00754571"/>
    <w:rsid w:val="007566F7"/>
    <w:rsid w:val="00760246"/>
    <w:rsid w:val="007602F9"/>
    <w:rsid w:val="00760893"/>
    <w:rsid w:val="007609C8"/>
    <w:rsid w:val="00761917"/>
    <w:rsid w:val="0076193C"/>
    <w:rsid w:val="007620C6"/>
    <w:rsid w:val="00763343"/>
    <w:rsid w:val="00763836"/>
    <w:rsid w:val="00763CA4"/>
    <w:rsid w:val="007644F2"/>
    <w:rsid w:val="0076589D"/>
    <w:rsid w:val="00766064"/>
    <w:rsid w:val="007675B3"/>
    <w:rsid w:val="00767C28"/>
    <w:rsid w:val="0077225A"/>
    <w:rsid w:val="0077236D"/>
    <w:rsid w:val="00774CB5"/>
    <w:rsid w:val="00775989"/>
    <w:rsid w:val="007766B3"/>
    <w:rsid w:val="00780587"/>
    <w:rsid w:val="00782A9A"/>
    <w:rsid w:val="00784648"/>
    <w:rsid w:val="00784B54"/>
    <w:rsid w:val="00784D53"/>
    <w:rsid w:val="0078583A"/>
    <w:rsid w:val="007865F3"/>
    <w:rsid w:val="00786C57"/>
    <w:rsid w:val="00786EBD"/>
    <w:rsid w:val="0078748E"/>
    <w:rsid w:val="00790B9E"/>
    <w:rsid w:val="00790D68"/>
    <w:rsid w:val="007957A4"/>
    <w:rsid w:val="00795B20"/>
    <w:rsid w:val="00797C31"/>
    <w:rsid w:val="007A01A3"/>
    <w:rsid w:val="007A0A64"/>
    <w:rsid w:val="007A1B55"/>
    <w:rsid w:val="007A2C05"/>
    <w:rsid w:val="007A33F5"/>
    <w:rsid w:val="007A4D69"/>
    <w:rsid w:val="007A5684"/>
    <w:rsid w:val="007A589C"/>
    <w:rsid w:val="007A6EA8"/>
    <w:rsid w:val="007A6F65"/>
    <w:rsid w:val="007A7097"/>
    <w:rsid w:val="007A7CF4"/>
    <w:rsid w:val="007B113E"/>
    <w:rsid w:val="007B26C3"/>
    <w:rsid w:val="007B2C08"/>
    <w:rsid w:val="007B4740"/>
    <w:rsid w:val="007B794F"/>
    <w:rsid w:val="007C02AF"/>
    <w:rsid w:val="007C0BD8"/>
    <w:rsid w:val="007C166D"/>
    <w:rsid w:val="007C29CB"/>
    <w:rsid w:val="007C319D"/>
    <w:rsid w:val="007C4E4F"/>
    <w:rsid w:val="007C5F2C"/>
    <w:rsid w:val="007D063B"/>
    <w:rsid w:val="007D081F"/>
    <w:rsid w:val="007D2636"/>
    <w:rsid w:val="007D2E40"/>
    <w:rsid w:val="007D34A1"/>
    <w:rsid w:val="007D39DD"/>
    <w:rsid w:val="007D4EF7"/>
    <w:rsid w:val="007D5AF8"/>
    <w:rsid w:val="007D6C65"/>
    <w:rsid w:val="007D775C"/>
    <w:rsid w:val="007E16E6"/>
    <w:rsid w:val="007E1D42"/>
    <w:rsid w:val="007E2956"/>
    <w:rsid w:val="007E4AEB"/>
    <w:rsid w:val="007E5520"/>
    <w:rsid w:val="007E6A0B"/>
    <w:rsid w:val="007F03CD"/>
    <w:rsid w:val="007F3CCC"/>
    <w:rsid w:val="007F42B3"/>
    <w:rsid w:val="007F5E62"/>
    <w:rsid w:val="007F6166"/>
    <w:rsid w:val="007F65AF"/>
    <w:rsid w:val="007F7E12"/>
    <w:rsid w:val="00800462"/>
    <w:rsid w:val="008030A7"/>
    <w:rsid w:val="00803E9E"/>
    <w:rsid w:val="0080466B"/>
    <w:rsid w:val="00804F8F"/>
    <w:rsid w:val="008052B0"/>
    <w:rsid w:val="00806F68"/>
    <w:rsid w:val="008075AD"/>
    <w:rsid w:val="008106BA"/>
    <w:rsid w:val="00811215"/>
    <w:rsid w:val="00812ED9"/>
    <w:rsid w:val="008143F3"/>
    <w:rsid w:val="00816AE7"/>
    <w:rsid w:val="00816F8C"/>
    <w:rsid w:val="00817540"/>
    <w:rsid w:val="008178CA"/>
    <w:rsid w:val="00820C07"/>
    <w:rsid w:val="00821A7E"/>
    <w:rsid w:val="00822DC1"/>
    <w:rsid w:val="00822F30"/>
    <w:rsid w:val="0082320E"/>
    <w:rsid w:val="0082361F"/>
    <w:rsid w:val="00823690"/>
    <w:rsid w:val="00825045"/>
    <w:rsid w:val="00825982"/>
    <w:rsid w:val="00827BCE"/>
    <w:rsid w:val="00830DFA"/>
    <w:rsid w:val="008312A4"/>
    <w:rsid w:val="0083617A"/>
    <w:rsid w:val="00837082"/>
    <w:rsid w:val="00837EC3"/>
    <w:rsid w:val="00840269"/>
    <w:rsid w:val="008420D7"/>
    <w:rsid w:val="00842340"/>
    <w:rsid w:val="00845D19"/>
    <w:rsid w:val="00846645"/>
    <w:rsid w:val="00847AA2"/>
    <w:rsid w:val="00850BFD"/>
    <w:rsid w:val="008530B3"/>
    <w:rsid w:val="00853D15"/>
    <w:rsid w:val="00854475"/>
    <w:rsid w:val="00854E84"/>
    <w:rsid w:val="0085557E"/>
    <w:rsid w:val="008575E3"/>
    <w:rsid w:val="008579E5"/>
    <w:rsid w:val="008604FD"/>
    <w:rsid w:val="008615D1"/>
    <w:rsid w:val="00862451"/>
    <w:rsid w:val="00862515"/>
    <w:rsid w:val="008631AB"/>
    <w:rsid w:val="00865541"/>
    <w:rsid w:val="00865EA7"/>
    <w:rsid w:val="00867A6B"/>
    <w:rsid w:val="00867B00"/>
    <w:rsid w:val="00867EEF"/>
    <w:rsid w:val="00870256"/>
    <w:rsid w:val="008710CD"/>
    <w:rsid w:val="00871325"/>
    <w:rsid w:val="00872706"/>
    <w:rsid w:val="00873344"/>
    <w:rsid w:val="00874642"/>
    <w:rsid w:val="008748B6"/>
    <w:rsid w:val="00874B98"/>
    <w:rsid w:val="00877A33"/>
    <w:rsid w:val="00881584"/>
    <w:rsid w:val="0088162D"/>
    <w:rsid w:val="00881E54"/>
    <w:rsid w:val="00882A2D"/>
    <w:rsid w:val="00882B7C"/>
    <w:rsid w:val="00883260"/>
    <w:rsid w:val="00884856"/>
    <w:rsid w:val="00885CBF"/>
    <w:rsid w:val="00885F25"/>
    <w:rsid w:val="00885F70"/>
    <w:rsid w:val="008878A9"/>
    <w:rsid w:val="0089028C"/>
    <w:rsid w:val="00890691"/>
    <w:rsid w:val="00891000"/>
    <w:rsid w:val="00891456"/>
    <w:rsid w:val="00891527"/>
    <w:rsid w:val="008923C2"/>
    <w:rsid w:val="00892BA1"/>
    <w:rsid w:val="00892C0F"/>
    <w:rsid w:val="00893669"/>
    <w:rsid w:val="0089415D"/>
    <w:rsid w:val="008951E7"/>
    <w:rsid w:val="00896405"/>
    <w:rsid w:val="00896A3D"/>
    <w:rsid w:val="008971C2"/>
    <w:rsid w:val="0089761E"/>
    <w:rsid w:val="00897CC0"/>
    <w:rsid w:val="008A2497"/>
    <w:rsid w:val="008A45AB"/>
    <w:rsid w:val="008A486A"/>
    <w:rsid w:val="008A5598"/>
    <w:rsid w:val="008A5E5F"/>
    <w:rsid w:val="008A6511"/>
    <w:rsid w:val="008A66C0"/>
    <w:rsid w:val="008A7653"/>
    <w:rsid w:val="008A77A2"/>
    <w:rsid w:val="008B0248"/>
    <w:rsid w:val="008B069D"/>
    <w:rsid w:val="008B0AAD"/>
    <w:rsid w:val="008B3A00"/>
    <w:rsid w:val="008B529F"/>
    <w:rsid w:val="008B5C2F"/>
    <w:rsid w:val="008B5F50"/>
    <w:rsid w:val="008B7B05"/>
    <w:rsid w:val="008C0219"/>
    <w:rsid w:val="008C0944"/>
    <w:rsid w:val="008C0E38"/>
    <w:rsid w:val="008C1C85"/>
    <w:rsid w:val="008C3168"/>
    <w:rsid w:val="008C35AC"/>
    <w:rsid w:val="008C3804"/>
    <w:rsid w:val="008C3B34"/>
    <w:rsid w:val="008C424F"/>
    <w:rsid w:val="008C49EF"/>
    <w:rsid w:val="008C727E"/>
    <w:rsid w:val="008D19BF"/>
    <w:rsid w:val="008D366C"/>
    <w:rsid w:val="008D755F"/>
    <w:rsid w:val="008E0976"/>
    <w:rsid w:val="008E0FFB"/>
    <w:rsid w:val="008E1AE8"/>
    <w:rsid w:val="008E1CE5"/>
    <w:rsid w:val="008E3654"/>
    <w:rsid w:val="008E366E"/>
    <w:rsid w:val="008E49BD"/>
    <w:rsid w:val="008E5BBD"/>
    <w:rsid w:val="008E5D3C"/>
    <w:rsid w:val="008E5FE8"/>
    <w:rsid w:val="008E61C2"/>
    <w:rsid w:val="008E6C5B"/>
    <w:rsid w:val="008E749E"/>
    <w:rsid w:val="008E76A2"/>
    <w:rsid w:val="008E7DBE"/>
    <w:rsid w:val="008F0C9F"/>
    <w:rsid w:val="008F0FEC"/>
    <w:rsid w:val="008F107B"/>
    <w:rsid w:val="008F1C1B"/>
    <w:rsid w:val="008F2BFC"/>
    <w:rsid w:val="008F5B6B"/>
    <w:rsid w:val="008F620B"/>
    <w:rsid w:val="008F6548"/>
    <w:rsid w:val="009011B6"/>
    <w:rsid w:val="009014DA"/>
    <w:rsid w:val="00901EF9"/>
    <w:rsid w:val="00902222"/>
    <w:rsid w:val="00904632"/>
    <w:rsid w:val="00904DBB"/>
    <w:rsid w:val="0090549F"/>
    <w:rsid w:val="00905DE7"/>
    <w:rsid w:val="009062AD"/>
    <w:rsid w:val="00907192"/>
    <w:rsid w:val="009073A9"/>
    <w:rsid w:val="0090783C"/>
    <w:rsid w:val="0091129E"/>
    <w:rsid w:val="009112A7"/>
    <w:rsid w:val="00913172"/>
    <w:rsid w:val="00913932"/>
    <w:rsid w:val="00913F80"/>
    <w:rsid w:val="009140DF"/>
    <w:rsid w:val="00915186"/>
    <w:rsid w:val="00915621"/>
    <w:rsid w:val="00915B21"/>
    <w:rsid w:val="009174AB"/>
    <w:rsid w:val="0092249F"/>
    <w:rsid w:val="009228F4"/>
    <w:rsid w:val="00922AAB"/>
    <w:rsid w:val="00923229"/>
    <w:rsid w:val="009237CE"/>
    <w:rsid w:val="00924937"/>
    <w:rsid w:val="0092551B"/>
    <w:rsid w:val="00926311"/>
    <w:rsid w:val="0092693E"/>
    <w:rsid w:val="00926B8D"/>
    <w:rsid w:val="00927CFD"/>
    <w:rsid w:val="00930FD5"/>
    <w:rsid w:val="00931595"/>
    <w:rsid w:val="009322CB"/>
    <w:rsid w:val="009324C0"/>
    <w:rsid w:val="00932818"/>
    <w:rsid w:val="009332F7"/>
    <w:rsid w:val="00934A38"/>
    <w:rsid w:val="00935028"/>
    <w:rsid w:val="009402C2"/>
    <w:rsid w:val="009407A4"/>
    <w:rsid w:val="00940DBC"/>
    <w:rsid w:val="0094215F"/>
    <w:rsid w:val="00942595"/>
    <w:rsid w:val="0094375B"/>
    <w:rsid w:val="00946300"/>
    <w:rsid w:val="009469DE"/>
    <w:rsid w:val="00946D0A"/>
    <w:rsid w:val="00947C1B"/>
    <w:rsid w:val="00950EEF"/>
    <w:rsid w:val="009511EB"/>
    <w:rsid w:val="00951D27"/>
    <w:rsid w:val="00952286"/>
    <w:rsid w:val="00954001"/>
    <w:rsid w:val="00954999"/>
    <w:rsid w:val="00955DDD"/>
    <w:rsid w:val="00956A19"/>
    <w:rsid w:val="00956C14"/>
    <w:rsid w:val="00957C49"/>
    <w:rsid w:val="00960ACF"/>
    <w:rsid w:val="00960C49"/>
    <w:rsid w:val="00960EE9"/>
    <w:rsid w:val="00963517"/>
    <w:rsid w:val="009656AF"/>
    <w:rsid w:val="00970188"/>
    <w:rsid w:val="00970346"/>
    <w:rsid w:val="00970DD9"/>
    <w:rsid w:val="00971D97"/>
    <w:rsid w:val="00972402"/>
    <w:rsid w:val="00972E95"/>
    <w:rsid w:val="00973002"/>
    <w:rsid w:val="00973512"/>
    <w:rsid w:val="00974C07"/>
    <w:rsid w:val="00974CDA"/>
    <w:rsid w:val="009752C4"/>
    <w:rsid w:val="00975C37"/>
    <w:rsid w:val="00976C50"/>
    <w:rsid w:val="0097747F"/>
    <w:rsid w:val="00977E83"/>
    <w:rsid w:val="00981A32"/>
    <w:rsid w:val="009820E1"/>
    <w:rsid w:val="0098297E"/>
    <w:rsid w:val="00985D66"/>
    <w:rsid w:val="00986671"/>
    <w:rsid w:val="0098746D"/>
    <w:rsid w:val="00991CF5"/>
    <w:rsid w:val="009931BD"/>
    <w:rsid w:val="00993330"/>
    <w:rsid w:val="009936F4"/>
    <w:rsid w:val="00996939"/>
    <w:rsid w:val="009A1833"/>
    <w:rsid w:val="009A4C9F"/>
    <w:rsid w:val="009A5103"/>
    <w:rsid w:val="009B024F"/>
    <w:rsid w:val="009B1614"/>
    <w:rsid w:val="009B1EF4"/>
    <w:rsid w:val="009B383E"/>
    <w:rsid w:val="009B4AAD"/>
    <w:rsid w:val="009B5B07"/>
    <w:rsid w:val="009B69D4"/>
    <w:rsid w:val="009B6BA6"/>
    <w:rsid w:val="009B75DC"/>
    <w:rsid w:val="009C009A"/>
    <w:rsid w:val="009C355A"/>
    <w:rsid w:val="009C6895"/>
    <w:rsid w:val="009C7174"/>
    <w:rsid w:val="009C730D"/>
    <w:rsid w:val="009C7DD6"/>
    <w:rsid w:val="009D0F50"/>
    <w:rsid w:val="009D19F3"/>
    <w:rsid w:val="009D1EA8"/>
    <w:rsid w:val="009D2076"/>
    <w:rsid w:val="009D27C6"/>
    <w:rsid w:val="009D3974"/>
    <w:rsid w:val="009D3EE1"/>
    <w:rsid w:val="009D5DF6"/>
    <w:rsid w:val="009D6FA2"/>
    <w:rsid w:val="009E00D8"/>
    <w:rsid w:val="009E020C"/>
    <w:rsid w:val="009E065E"/>
    <w:rsid w:val="009E08B8"/>
    <w:rsid w:val="009E1568"/>
    <w:rsid w:val="009E2F69"/>
    <w:rsid w:val="009E34A0"/>
    <w:rsid w:val="009E378A"/>
    <w:rsid w:val="009E4128"/>
    <w:rsid w:val="009E662E"/>
    <w:rsid w:val="009E7574"/>
    <w:rsid w:val="009E7C67"/>
    <w:rsid w:val="009F0E2C"/>
    <w:rsid w:val="009F309D"/>
    <w:rsid w:val="009F367E"/>
    <w:rsid w:val="009F3B0D"/>
    <w:rsid w:val="009F49E0"/>
    <w:rsid w:val="009F4D3F"/>
    <w:rsid w:val="009F5D17"/>
    <w:rsid w:val="009F5ECC"/>
    <w:rsid w:val="009F7842"/>
    <w:rsid w:val="00A0261D"/>
    <w:rsid w:val="00A0441D"/>
    <w:rsid w:val="00A04472"/>
    <w:rsid w:val="00A05497"/>
    <w:rsid w:val="00A05577"/>
    <w:rsid w:val="00A057E9"/>
    <w:rsid w:val="00A05A81"/>
    <w:rsid w:val="00A065F1"/>
    <w:rsid w:val="00A06613"/>
    <w:rsid w:val="00A074D1"/>
    <w:rsid w:val="00A07BC6"/>
    <w:rsid w:val="00A10D24"/>
    <w:rsid w:val="00A127A8"/>
    <w:rsid w:val="00A13831"/>
    <w:rsid w:val="00A14254"/>
    <w:rsid w:val="00A14D35"/>
    <w:rsid w:val="00A16253"/>
    <w:rsid w:val="00A17B77"/>
    <w:rsid w:val="00A20873"/>
    <w:rsid w:val="00A20925"/>
    <w:rsid w:val="00A214ED"/>
    <w:rsid w:val="00A2243E"/>
    <w:rsid w:val="00A228BC"/>
    <w:rsid w:val="00A2375E"/>
    <w:rsid w:val="00A251F1"/>
    <w:rsid w:val="00A25F08"/>
    <w:rsid w:val="00A26B42"/>
    <w:rsid w:val="00A27D82"/>
    <w:rsid w:val="00A27DCC"/>
    <w:rsid w:val="00A31F23"/>
    <w:rsid w:val="00A33054"/>
    <w:rsid w:val="00A34959"/>
    <w:rsid w:val="00A34F31"/>
    <w:rsid w:val="00A365B0"/>
    <w:rsid w:val="00A40FE1"/>
    <w:rsid w:val="00A410D3"/>
    <w:rsid w:val="00A4133E"/>
    <w:rsid w:val="00A424C3"/>
    <w:rsid w:val="00A42FD4"/>
    <w:rsid w:val="00A43110"/>
    <w:rsid w:val="00A45073"/>
    <w:rsid w:val="00A457A5"/>
    <w:rsid w:val="00A459BF"/>
    <w:rsid w:val="00A47F05"/>
    <w:rsid w:val="00A50181"/>
    <w:rsid w:val="00A516CE"/>
    <w:rsid w:val="00A52CBC"/>
    <w:rsid w:val="00A52F88"/>
    <w:rsid w:val="00A53505"/>
    <w:rsid w:val="00A540FB"/>
    <w:rsid w:val="00A60E67"/>
    <w:rsid w:val="00A612A6"/>
    <w:rsid w:val="00A62C44"/>
    <w:rsid w:val="00A62D84"/>
    <w:rsid w:val="00A6341A"/>
    <w:rsid w:val="00A63AE4"/>
    <w:rsid w:val="00A657A7"/>
    <w:rsid w:val="00A7011B"/>
    <w:rsid w:val="00A7224B"/>
    <w:rsid w:val="00A72596"/>
    <w:rsid w:val="00A73323"/>
    <w:rsid w:val="00A7342C"/>
    <w:rsid w:val="00A736B6"/>
    <w:rsid w:val="00A73C04"/>
    <w:rsid w:val="00A75241"/>
    <w:rsid w:val="00A766E8"/>
    <w:rsid w:val="00A80587"/>
    <w:rsid w:val="00A80E4F"/>
    <w:rsid w:val="00A8188F"/>
    <w:rsid w:val="00A82447"/>
    <w:rsid w:val="00A829AA"/>
    <w:rsid w:val="00A83833"/>
    <w:rsid w:val="00A83EFB"/>
    <w:rsid w:val="00A852C0"/>
    <w:rsid w:val="00A8560A"/>
    <w:rsid w:val="00A87613"/>
    <w:rsid w:val="00A87EA2"/>
    <w:rsid w:val="00A9219B"/>
    <w:rsid w:val="00A926B4"/>
    <w:rsid w:val="00A93339"/>
    <w:rsid w:val="00A93FF2"/>
    <w:rsid w:val="00A94D9A"/>
    <w:rsid w:val="00A96534"/>
    <w:rsid w:val="00A96964"/>
    <w:rsid w:val="00AA081E"/>
    <w:rsid w:val="00AA1B02"/>
    <w:rsid w:val="00AA2B83"/>
    <w:rsid w:val="00AA4673"/>
    <w:rsid w:val="00AA4DA7"/>
    <w:rsid w:val="00AB27FF"/>
    <w:rsid w:val="00AB35D1"/>
    <w:rsid w:val="00AB42AD"/>
    <w:rsid w:val="00AB46C5"/>
    <w:rsid w:val="00AB4782"/>
    <w:rsid w:val="00AB4B0B"/>
    <w:rsid w:val="00AC0C70"/>
    <w:rsid w:val="00AC1C83"/>
    <w:rsid w:val="00AC2615"/>
    <w:rsid w:val="00AC29E5"/>
    <w:rsid w:val="00AC4B1B"/>
    <w:rsid w:val="00AC5790"/>
    <w:rsid w:val="00AC64C9"/>
    <w:rsid w:val="00AC7BF5"/>
    <w:rsid w:val="00AD093F"/>
    <w:rsid w:val="00AD29AD"/>
    <w:rsid w:val="00AD3572"/>
    <w:rsid w:val="00AD5BCC"/>
    <w:rsid w:val="00AD6943"/>
    <w:rsid w:val="00AD6A7C"/>
    <w:rsid w:val="00AE23C5"/>
    <w:rsid w:val="00AE32BA"/>
    <w:rsid w:val="00AE3A76"/>
    <w:rsid w:val="00AE3A87"/>
    <w:rsid w:val="00AE59A1"/>
    <w:rsid w:val="00AE738A"/>
    <w:rsid w:val="00AE74D4"/>
    <w:rsid w:val="00AF11BE"/>
    <w:rsid w:val="00AF1EC0"/>
    <w:rsid w:val="00AF2EA7"/>
    <w:rsid w:val="00AF4332"/>
    <w:rsid w:val="00B0204E"/>
    <w:rsid w:val="00B03951"/>
    <w:rsid w:val="00B03DA5"/>
    <w:rsid w:val="00B049D5"/>
    <w:rsid w:val="00B0764F"/>
    <w:rsid w:val="00B12362"/>
    <w:rsid w:val="00B12E09"/>
    <w:rsid w:val="00B1664E"/>
    <w:rsid w:val="00B1688A"/>
    <w:rsid w:val="00B16952"/>
    <w:rsid w:val="00B17732"/>
    <w:rsid w:val="00B179DD"/>
    <w:rsid w:val="00B20AD6"/>
    <w:rsid w:val="00B21FB1"/>
    <w:rsid w:val="00B221AC"/>
    <w:rsid w:val="00B25B94"/>
    <w:rsid w:val="00B26669"/>
    <w:rsid w:val="00B30DE3"/>
    <w:rsid w:val="00B3343F"/>
    <w:rsid w:val="00B33FB0"/>
    <w:rsid w:val="00B34F07"/>
    <w:rsid w:val="00B34F1D"/>
    <w:rsid w:val="00B35CC2"/>
    <w:rsid w:val="00B3601E"/>
    <w:rsid w:val="00B36348"/>
    <w:rsid w:val="00B37295"/>
    <w:rsid w:val="00B3745C"/>
    <w:rsid w:val="00B377A0"/>
    <w:rsid w:val="00B37A0A"/>
    <w:rsid w:val="00B37C87"/>
    <w:rsid w:val="00B40042"/>
    <w:rsid w:val="00B40603"/>
    <w:rsid w:val="00B42426"/>
    <w:rsid w:val="00B429E5"/>
    <w:rsid w:val="00B438AF"/>
    <w:rsid w:val="00B44553"/>
    <w:rsid w:val="00B44EB4"/>
    <w:rsid w:val="00B457A8"/>
    <w:rsid w:val="00B4590B"/>
    <w:rsid w:val="00B46F2F"/>
    <w:rsid w:val="00B47B35"/>
    <w:rsid w:val="00B50D30"/>
    <w:rsid w:val="00B51D1A"/>
    <w:rsid w:val="00B527D7"/>
    <w:rsid w:val="00B52A85"/>
    <w:rsid w:val="00B52AE1"/>
    <w:rsid w:val="00B537AC"/>
    <w:rsid w:val="00B55382"/>
    <w:rsid w:val="00B554AB"/>
    <w:rsid w:val="00B57FAD"/>
    <w:rsid w:val="00B60B54"/>
    <w:rsid w:val="00B60F24"/>
    <w:rsid w:val="00B62841"/>
    <w:rsid w:val="00B64628"/>
    <w:rsid w:val="00B668A3"/>
    <w:rsid w:val="00B66FEF"/>
    <w:rsid w:val="00B70EDC"/>
    <w:rsid w:val="00B71BEC"/>
    <w:rsid w:val="00B72096"/>
    <w:rsid w:val="00B727B1"/>
    <w:rsid w:val="00B72CBD"/>
    <w:rsid w:val="00B737E1"/>
    <w:rsid w:val="00B7472A"/>
    <w:rsid w:val="00B76ADD"/>
    <w:rsid w:val="00B76BCF"/>
    <w:rsid w:val="00B76DED"/>
    <w:rsid w:val="00B81FB1"/>
    <w:rsid w:val="00B837FB"/>
    <w:rsid w:val="00B84724"/>
    <w:rsid w:val="00B8497E"/>
    <w:rsid w:val="00B84D6D"/>
    <w:rsid w:val="00B8520E"/>
    <w:rsid w:val="00B858F4"/>
    <w:rsid w:val="00B85BD8"/>
    <w:rsid w:val="00B86862"/>
    <w:rsid w:val="00B903BB"/>
    <w:rsid w:val="00B907E1"/>
    <w:rsid w:val="00B90AA2"/>
    <w:rsid w:val="00B925D7"/>
    <w:rsid w:val="00B92D0E"/>
    <w:rsid w:val="00B92E58"/>
    <w:rsid w:val="00B9399A"/>
    <w:rsid w:val="00B95BA0"/>
    <w:rsid w:val="00B96AFD"/>
    <w:rsid w:val="00B96EE2"/>
    <w:rsid w:val="00BA02D9"/>
    <w:rsid w:val="00BA174B"/>
    <w:rsid w:val="00BA2A40"/>
    <w:rsid w:val="00BA3752"/>
    <w:rsid w:val="00BA4381"/>
    <w:rsid w:val="00BA57EC"/>
    <w:rsid w:val="00BA759E"/>
    <w:rsid w:val="00BA78F4"/>
    <w:rsid w:val="00BB269E"/>
    <w:rsid w:val="00BB2A5D"/>
    <w:rsid w:val="00BB4E6F"/>
    <w:rsid w:val="00BB584D"/>
    <w:rsid w:val="00BB6E8F"/>
    <w:rsid w:val="00BB6FEE"/>
    <w:rsid w:val="00BC31D7"/>
    <w:rsid w:val="00BC3A90"/>
    <w:rsid w:val="00BC40D1"/>
    <w:rsid w:val="00BC4210"/>
    <w:rsid w:val="00BC4ABA"/>
    <w:rsid w:val="00BC550B"/>
    <w:rsid w:val="00BC711A"/>
    <w:rsid w:val="00BC7497"/>
    <w:rsid w:val="00BD205F"/>
    <w:rsid w:val="00BD25BE"/>
    <w:rsid w:val="00BD2A3A"/>
    <w:rsid w:val="00BD3D36"/>
    <w:rsid w:val="00BD4278"/>
    <w:rsid w:val="00BD4D0E"/>
    <w:rsid w:val="00BD4F26"/>
    <w:rsid w:val="00BE010F"/>
    <w:rsid w:val="00BE0273"/>
    <w:rsid w:val="00BE0A13"/>
    <w:rsid w:val="00BE19FF"/>
    <w:rsid w:val="00BE1D53"/>
    <w:rsid w:val="00BE2482"/>
    <w:rsid w:val="00BE2C77"/>
    <w:rsid w:val="00BE4E45"/>
    <w:rsid w:val="00BE684C"/>
    <w:rsid w:val="00BE6938"/>
    <w:rsid w:val="00BE69E0"/>
    <w:rsid w:val="00BE6A9F"/>
    <w:rsid w:val="00BE7484"/>
    <w:rsid w:val="00BE74C8"/>
    <w:rsid w:val="00BF00FA"/>
    <w:rsid w:val="00BF0116"/>
    <w:rsid w:val="00BF0A7B"/>
    <w:rsid w:val="00BF1470"/>
    <w:rsid w:val="00BF151D"/>
    <w:rsid w:val="00BF15E1"/>
    <w:rsid w:val="00BF2943"/>
    <w:rsid w:val="00BF4989"/>
    <w:rsid w:val="00BF5ECF"/>
    <w:rsid w:val="00BF65C9"/>
    <w:rsid w:val="00BF7292"/>
    <w:rsid w:val="00BF72CF"/>
    <w:rsid w:val="00BF7401"/>
    <w:rsid w:val="00C0064A"/>
    <w:rsid w:val="00C03BBE"/>
    <w:rsid w:val="00C03E6B"/>
    <w:rsid w:val="00C04392"/>
    <w:rsid w:val="00C04A00"/>
    <w:rsid w:val="00C06138"/>
    <w:rsid w:val="00C066CE"/>
    <w:rsid w:val="00C06B36"/>
    <w:rsid w:val="00C12F16"/>
    <w:rsid w:val="00C13F6B"/>
    <w:rsid w:val="00C141C1"/>
    <w:rsid w:val="00C14A48"/>
    <w:rsid w:val="00C15919"/>
    <w:rsid w:val="00C1694C"/>
    <w:rsid w:val="00C20E57"/>
    <w:rsid w:val="00C224D5"/>
    <w:rsid w:val="00C22AF2"/>
    <w:rsid w:val="00C24427"/>
    <w:rsid w:val="00C25145"/>
    <w:rsid w:val="00C2680E"/>
    <w:rsid w:val="00C276C8"/>
    <w:rsid w:val="00C27B4A"/>
    <w:rsid w:val="00C3078B"/>
    <w:rsid w:val="00C30A5A"/>
    <w:rsid w:val="00C32086"/>
    <w:rsid w:val="00C324FA"/>
    <w:rsid w:val="00C3478E"/>
    <w:rsid w:val="00C35AD6"/>
    <w:rsid w:val="00C35D53"/>
    <w:rsid w:val="00C36A55"/>
    <w:rsid w:val="00C37057"/>
    <w:rsid w:val="00C373D2"/>
    <w:rsid w:val="00C374FD"/>
    <w:rsid w:val="00C40766"/>
    <w:rsid w:val="00C40A33"/>
    <w:rsid w:val="00C41DC8"/>
    <w:rsid w:val="00C4226D"/>
    <w:rsid w:val="00C43301"/>
    <w:rsid w:val="00C444C9"/>
    <w:rsid w:val="00C450F2"/>
    <w:rsid w:val="00C45223"/>
    <w:rsid w:val="00C45DD2"/>
    <w:rsid w:val="00C5017C"/>
    <w:rsid w:val="00C5043F"/>
    <w:rsid w:val="00C508BF"/>
    <w:rsid w:val="00C50FA1"/>
    <w:rsid w:val="00C51318"/>
    <w:rsid w:val="00C5211B"/>
    <w:rsid w:val="00C530F0"/>
    <w:rsid w:val="00C54ED5"/>
    <w:rsid w:val="00C61949"/>
    <w:rsid w:val="00C61D3A"/>
    <w:rsid w:val="00C638FA"/>
    <w:rsid w:val="00C63BB1"/>
    <w:rsid w:val="00C64812"/>
    <w:rsid w:val="00C6484F"/>
    <w:rsid w:val="00C64B39"/>
    <w:rsid w:val="00C66801"/>
    <w:rsid w:val="00C71927"/>
    <w:rsid w:val="00C72092"/>
    <w:rsid w:val="00C745F2"/>
    <w:rsid w:val="00C75110"/>
    <w:rsid w:val="00C755E2"/>
    <w:rsid w:val="00C760CD"/>
    <w:rsid w:val="00C807A0"/>
    <w:rsid w:val="00C814F0"/>
    <w:rsid w:val="00C82C15"/>
    <w:rsid w:val="00C8482A"/>
    <w:rsid w:val="00C849BD"/>
    <w:rsid w:val="00C85A3B"/>
    <w:rsid w:val="00C85E59"/>
    <w:rsid w:val="00C8643D"/>
    <w:rsid w:val="00C86506"/>
    <w:rsid w:val="00C875B6"/>
    <w:rsid w:val="00C91120"/>
    <w:rsid w:val="00C9120E"/>
    <w:rsid w:val="00C91EC5"/>
    <w:rsid w:val="00C92572"/>
    <w:rsid w:val="00C9318F"/>
    <w:rsid w:val="00C93783"/>
    <w:rsid w:val="00C93EE6"/>
    <w:rsid w:val="00C95EB1"/>
    <w:rsid w:val="00C96210"/>
    <w:rsid w:val="00C971D2"/>
    <w:rsid w:val="00C977BE"/>
    <w:rsid w:val="00CA39F4"/>
    <w:rsid w:val="00CA3BD0"/>
    <w:rsid w:val="00CA515C"/>
    <w:rsid w:val="00CA70A6"/>
    <w:rsid w:val="00CA7BEF"/>
    <w:rsid w:val="00CB010C"/>
    <w:rsid w:val="00CB0F0F"/>
    <w:rsid w:val="00CB15ED"/>
    <w:rsid w:val="00CB1AC3"/>
    <w:rsid w:val="00CB2BCF"/>
    <w:rsid w:val="00CB3850"/>
    <w:rsid w:val="00CB3F06"/>
    <w:rsid w:val="00CB3F67"/>
    <w:rsid w:val="00CB4956"/>
    <w:rsid w:val="00CB770F"/>
    <w:rsid w:val="00CB7E43"/>
    <w:rsid w:val="00CC04E9"/>
    <w:rsid w:val="00CC065A"/>
    <w:rsid w:val="00CC0EAC"/>
    <w:rsid w:val="00CC24D7"/>
    <w:rsid w:val="00CC2EE1"/>
    <w:rsid w:val="00CC3A5A"/>
    <w:rsid w:val="00CC3C6D"/>
    <w:rsid w:val="00CC4BC6"/>
    <w:rsid w:val="00CC4F00"/>
    <w:rsid w:val="00CC5603"/>
    <w:rsid w:val="00CC5F46"/>
    <w:rsid w:val="00CC7D50"/>
    <w:rsid w:val="00CD01AF"/>
    <w:rsid w:val="00CD13B9"/>
    <w:rsid w:val="00CD1FB7"/>
    <w:rsid w:val="00CD2824"/>
    <w:rsid w:val="00CD2F95"/>
    <w:rsid w:val="00CD37DF"/>
    <w:rsid w:val="00CD3C68"/>
    <w:rsid w:val="00CD3D6F"/>
    <w:rsid w:val="00CD3FE9"/>
    <w:rsid w:val="00CD4359"/>
    <w:rsid w:val="00CD585B"/>
    <w:rsid w:val="00CD5890"/>
    <w:rsid w:val="00CD5CE1"/>
    <w:rsid w:val="00CD6785"/>
    <w:rsid w:val="00CD6F89"/>
    <w:rsid w:val="00CD76FD"/>
    <w:rsid w:val="00CE0A37"/>
    <w:rsid w:val="00CE40AF"/>
    <w:rsid w:val="00CE4427"/>
    <w:rsid w:val="00CE5396"/>
    <w:rsid w:val="00CE61D8"/>
    <w:rsid w:val="00CE74F2"/>
    <w:rsid w:val="00CF043C"/>
    <w:rsid w:val="00CF064F"/>
    <w:rsid w:val="00CF0FB5"/>
    <w:rsid w:val="00CF10F8"/>
    <w:rsid w:val="00CF1177"/>
    <w:rsid w:val="00CF11FA"/>
    <w:rsid w:val="00CF1920"/>
    <w:rsid w:val="00CF2254"/>
    <w:rsid w:val="00CF2597"/>
    <w:rsid w:val="00CF43C8"/>
    <w:rsid w:val="00CF521C"/>
    <w:rsid w:val="00CF5698"/>
    <w:rsid w:val="00CF6C03"/>
    <w:rsid w:val="00D01D19"/>
    <w:rsid w:val="00D022E2"/>
    <w:rsid w:val="00D02728"/>
    <w:rsid w:val="00D02DAB"/>
    <w:rsid w:val="00D03669"/>
    <w:rsid w:val="00D03ECF"/>
    <w:rsid w:val="00D07225"/>
    <w:rsid w:val="00D07664"/>
    <w:rsid w:val="00D10D7A"/>
    <w:rsid w:val="00D12252"/>
    <w:rsid w:val="00D125D2"/>
    <w:rsid w:val="00D150BF"/>
    <w:rsid w:val="00D20078"/>
    <w:rsid w:val="00D2033D"/>
    <w:rsid w:val="00D20AB9"/>
    <w:rsid w:val="00D20B7B"/>
    <w:rsid w:val="00D210BF"/>
    <w:rsid w:val="00D22F36"/>
    <w:rsid w:val="00D23170"/>
    <w:rsid w:val="00D24556"/>
    <w:rsid w:val="00D25FA5"/>
    <w:rsid w:val="00D26EAE"/>
    <w:rsid w:val="00D2782C"/>
    <w:rsid w:val="00D27B64"/>
    <w:rsid w:val="00D30B74"/>
    <w:rsid w:val="00D3180C"/>
    <w:rsid w:val="00D32388"/>
    <w:rsid w:val="00D3295A"/>
    <w:rsid w:val="00D33056"/>
    <w:rsid w:val="00D341EF"/>
    <w:rsid w:val="00D34E03"/>
    <w:rsid w:val="00D362BD"/>
    <w:rsid w:val="00D36442"/>
    <w:rsid w:val="00D413FB"/>
    <w:rsid w:val="00D42C3D"/>
    <w:rsid w:val="00D43FDB"/>
    <w:rsid w:val="00D44675"/>
    <w:rsid w:val="00D44B22"/>
    <w:rsid w:val="00D45917"/>
    <w:rsid w:val="00D45EC8"/>
    <w:rsid w:val="00D477CE"/>
    <w:rsid w:val="00D47958"/>
    <w:rsid w:val="00D50218"/>
    <w:rsid w:val="00D50F36"/>
    <w:rsid w:val="00D5156E"/>
    <w:rsid w:val="00D521FE"/>
    <w:rsid w:val="00D52678"/>
    <w:rsid w:val="00D55347"/>
    <w:rsid w:val="00D559BA"/>
    <w:rsid w:val="00D57B3C"/>
    <w:rsid w:val="00D57DA3"/>
    <w:rsid w:val="00D57E03"/>
    <w:rsid w:val="00D57EF2"/>
    <w:rsid w:val="00D60C0C"/>
    <w:rsid w:val="00D62ABF"/>
    <w:rsid w:val="00D64DF8"/>
    <w:rsid w:val="00D650B4"/>
    <w:rsid w:val="00D702CD"/>
    <w:rsid w:val="00D70674"/>
    <w:rsid w:val="00D71DBB"/>
    <w:rsid w:val="00D73AC0"/>
    <w:rsid w:val="00D75233"/>
    <w:rsid w:val="00D765F9"/>
    <w:rsid w:val="00D770B8"/>
    <w:rsid w:val="00D77707"/>
    <w:rsid w:val="00D77EEF"/>
    <w:rsid w:val="00D812C0"/>
    <w:rsid w:val="00D82A0A"/>
    <w:rsid w:val="00D83CC4"/>
    <w:rsid w:val="00D84637"/>
    <w:rsid w:val="00D84738"/>
    <w:rsid w:val="00D87B33"/>
    <w:rsid w:val="00D9003C"/>
    <w:rsid w:val="00D90866"/>
    <w:rsid w:val="00D93D5C"/>
    <w:rsid w:val="00D93E83"/>
    <w:rsid w:val="00D95290"/>
    <w:rsid w:val="00D96454"/>
    <w:rsid w:val="00D9721C"/>
    <w:rsid w:val="00DA0064"/>
    <w:rsid w:val="00DA00E0"/>
    <w:rsid w:val="00DA028C"/>
    <w:rsid w:val="00DA0866"/>
    <w:rsid w:val="00DA1166"/>
    <w:rsid w:val="00DA1813"/>
    <w:rsid w:val="00DA31B5"/>
    <w:rsid w:val="00DA3680"/>
    <w:rsid w:val="00DA36B3"/>
    <w:rsid w:val="00DA57F3"/>
    <w:rsid w:val="00DA76FF"/>
    <w:rsid w:val="00DA7D55"/>
    <w:rsid w:val="00DB7632"/>
    <w:rsid w:val="00DC0456"/>
    <w:rsid w:val="00DC0556"/>
    <w:rsid w:val="00DC16D5"/>
    <w:rsid w:val="00DC1C83"/>
    <w:rsid w:val="00DC29C4"/>
    <w:rsid w:val="00DC3CCB"/>
    <w:rsid w:val="00DC7DB0"/>
    <w:rsid w:val="00DD0E29"/>
    <w:rsid w:val="00DD40C6"/>
    <w:rsid w:val="00DD4282"/>
    <w:rsid w:val="00DD45B8"/>
    <w:rsid w:val="00DD5EA9"/>
    <w:rsid w:val="00DD7CE2"/>
    <w:rsid w:val="00DE1D16"/>
    <w:rsid w:val="00DE1FC8"/>
    <w:rsid w:val="00DE2226"/>
    <w:rsid w:val="00DE3309"/>
    <w:rsid w:val="00DE4717"/>
    <w:rsid w:val="00DE580F"/>
    <w:rsid w:val="00DE5A13"/>
    <w:rsid w:val="00DE717F"/>
    <w:rsid w:val="00DF0692"/>
    <w:rsid w:val="00DF0819"/>
    <w:rsid w:val="00DF269A"/>
    <w:rsid w:val="00DF3707"/>
    <w:rsid w:val="00DF3F9B"/>
    <w:rsid w:val="00DF599A"/>
    <w:rsid w:val="00DF5E0C"/>
    <w:rsid w:val="00DF6752"/>
    <w:rsid w:val="00DF689E"/>
    <w:rsid w:val="00E00928"/>
    <w:rsid w:val="00E00D43"/>
    <w:rsid w:val="00E01E37"/>
    <w:rsid w:val="00E030DC"/>
    <w:rsid w:val="00E04047"/>
    <w:rsid w:val="00E05492"/>
    <w:rsid w:val="00E05A45"/>
    <w:rsid w:val="00E05CBA"/>
    <w:rsid w:val="00E07FDC"/>
    <w:rsid w:val="00E1095B"/>
    <w:rsid w:val="00E116E7"/>
    <w:rsid w:val="00E11DBB"/>
    <w:rsid w:val="00E11DF3"/>
    <w:rsid w:val="00E1255A"/>
    <w:rsid w:val="00E126D0"/>
    <w:rsid w:val="00E17FC4"/>
    <w:rsid w:val="00E20D99"/>
    <w:rsid w:val="00E224A5"/>
    <w:rsid w:val="00E22E60"/>
    <w:rsid w:val="00E247CD"/>
    <w:rsid w:val="00E24C6B"/>
    <w:rsid w:val="00E277A6"/>
    <w:rsid w:val="00E30416"/>
    <w:rsid w:val="00E30C87"/>
    <w:rsid w:val="00E31061"/>
    <w:rsid w:val="00E31D8E"/>
    <w:rsid w:val="00E32359"/>
    <w:rsid w:val="00E32604"/>
    <w:rsid w:val="00E3295D"/>
    <w:rsid w:val="00E330FC"/>
    <w:rsid w:val="00E345F4"/>
    <w:rsid w:val="00E409CE"/>
    <w:rsid w:val="00E41DEA"/>
    <w:rsid w:val="00E422B1"/>
    <w:rsid w:val="00E42606"/>
    <w:rsid w:val="00E4263F"/>
    <w:rsid w:val="00E43258"/>
    <w:rsid w:val="00E455A1"/>
    <w:rsid w:val="00E462E1"/>
    <w:rsid w:val="00E47A7C"/>
    <w:rsid w:val="00E47B2F"/>
    <w:rsid w:val="00E506C0"/>
    <w:rsid w:val="00E51771"/>
    <w:rsid w:val="00E5240E"/>
    <w:rsid w:val="00E52FC4"/>
    <w:rsid w:val="00E53AD0"/>
    <w:rsid w:val="00E5496E"/>
    <w:rsid w:val="00E5788F"/>
    <w:rsid w:val="00E62A15"/>
    <w:rsid w:val="00E635DD"/>
    <w:rsid w:val="00E638AA"/>
    <w:rsid w:val="00E63E6C"/>
    <w:rsid w:val="00E64713"/>
    <w:rsid w:val="00E652C3"/>
    <w:rsid w:val="00E65680"/>
    <w:rsid w:val="00E656F2"/>
    <w:rsid w:val="00E66CB4"/>
    <w:rsid w:val="00E67F25"/>
    <w:rsid w:val="00E70355"/>
    <w:rsid w:val="00E70BE1"/>
    <w:rsid w:val="00E70F69"/>
    <w:rsid w:val="00E7223B"/>
    <w:rsid w:val="00E723AE"/>
    <w:rsid w:val="00E75E4D"/>
    <w:rsid w:val="00E77D21"/>
    <w:rsid w:val="00E80C20"/>
    <w:rsid w:val="00E83E6C"/>
    <w:rsid w:val="00E84156"/>
    <w:rsid w:val="00E84188"/>
    <w:rsid w:val="00E843D6"/>
    <w:rsid w:val="00E85AE6"/>
    <w:rsid w:val="00E86212"/>
    <w:rsid w:val="00E87B25"/>
    <w:rsid w:val="00E90374"/>
    <w:rsid w:val="00E91646"/>
    <w:rsid w:val="00E91887"/>
    <w:rsid w:val="00E94714"/>
    <w:rsid w:val="00E965BB"/>
    <w:rsid w:val="00EA0CAD"/>
    <w:rsid w:val="00EA15F4"/>
    <w:rsid w:val="00EA1A75"/>
    <w:rsid w:val="00EA1B85"/>
    <w:rsid w:val="00EA24D1"/>
    <w:rsid w:val="00EA2E12"/>
    <w:rsid w:val="00EA2F7C"/>
    <w:rsid w:val="00EA405E"/>
    <w:rsid w:val="00EA4EDB"/>
    <w:rsid w:val="00EA6027"/>
    <w:rsid w:val="00EA63D4"/>
    <w:rsid w:val="00EA7D50"/>
    <w:rsid w:val="00EB0B8E"/>
    <w:rsid w:val="00EB0D1F"/>
    <w:rsid w:val="00EB253B"/>
    <w:rsid w:val="00EB2EEC"/>
    <w:rsid w:val="00EB46E3"/>
    <w:rsid w:val="00EB4899"/>
    <w:rsid w:val="00EB630F"/>
    <w:rsid w:val="00EB79DD"/>
    <w:rsid w:val="00EB7A3C"/>
    <w:rsid w:val="00EC083D"/>
    <w:rsid w:val="00EC1306"/>
    <w:rsid w:val="00EC1894"/>
    <w:rsid w:val="00EC2DF3"/>
    <w:rsid w:val="00EC35C1"/>
    <w:rsid w:val="00EC4BBC"/>
    <w:rsid w:val="00EC537B"/>
    <w:rsid w:val="00EC6F2C"/>
    <w:rsid w:val="00ED0DFD"/>
    <w:rsid w:val="00ED110B"/>
    <w:rsid w:val="00ED19F1"/>
    <w:rsid w:val="00ED2198"/>
    <w:rsid w:val="00ED3523"/>
    <w:rsid w:val="00ED456E"/>
    <w:rsid w:val="00ED49AB"/>
    <w:rsid w:val="00ED5484"/>
    <w:rsid w:val="00ED616F"/>
    <w:rsid w:val="00ED6598"/>
    <w:rsid w:val="00ED7762"/>
    <w:rsid w:val="00ED7C6B"/>
    <w:rsid w:val="00EE10C2"/>
    <w:rsid w:val="00EE13F5"/>
    <w:rsid w:val="00EE21B2"/>
    <w:rsid w:val="00EE2EDC"/>
    <w:rsid w:val="00EE42D6"/>
    <w:rsid w:val="00EE58F1"/>
    <w:rsid w:val="00EE66B1"/>
    <w:rsid w:val="00EE6D4C"/>
    <w:rsid w:val="00EF193A"/>
    <w:rsid w:val="00EF1AA8"/>
    <w:rsid w:val="00EF1D17"/>
    <w:rsid w:val="00EF2067"/>
    <w:rsid w:val="00EF2C76"/>
    <w:rsid w:val="00EF3A56"/>
    <w:rsid w:val="00EF44E6"/>
    <w:rsid w:val="00EF4749"/>
    <w:rsid w:val="00EF4860"/>
    <w:rsid w:val="00EF49DA"/>
    <w:rsid w:val="00EF6F44"/>
    <w:rsid w:val="00EF7222"/>
    <w:rsid w:val="00F03097"/>
    <w:rsid w:val="00F04280"/>
    <w:rsid w:val="00F053B6"/>
    <w:rsid w:val="00F06B65"/>
    <w:rsid w:val="00F06F1F"/>
    <w:rsid w:val="00F079EB"/>
    <w:rsid w:val="00F100FF"/>
    <w:rsid w:val="00F10350"/>
    <w:rsid w:val="00F11FBD"/>
    <w:rsid w:val="00F12FA4"/>
    <w:rsid w:val="00F13364"/>
    <w:rsid w:val="00F13A09"/>
    <w:rsid w:val="00F1719E"/>
    <w:rsid w:val="00F2187D"/>
    <w:rsid w:val="00F24A38"/>
    <w:rsid w:val="00F25B93"/>
    <w:rsid w:val="00F25CC5"/>
    <w:rsid w:val="00F263C3"/>
    <w:rsid w:val="00F26A90"/>
    <w:rsid w:val="00F26E55"/>
    <w:rsid w:val="00F306EE"/>
    <w:rsid w:val="00F31CF0"/>
    <w:rsid w:val="00F320F8"/>
    <w:rsid w:val="00F327B6"/>
    <w:rsid w:val="00F35312"/>
    <w:rsid w:val="00F35909"/>
    <w:rsid w:val="00F3595F"/>
    <w:rsid w:val="00F35C62"/>
    <w:rsid w:val="00F360E9"/>
    <w:rsid w:val="00F36940"/>
    <w:rsid w:val="00F36B85"/>
    <w:rsid w:val="00F37A25"/>
    <w:rsid w:val="00F37C55"/>
    <w:rsid w:val="00F41891"/>
    <w:rsid w:val="00F43089"/>
    <w:rsid w:val="00F431DA"/>
    <w:rsid w:val="00F448F9"/>
    <w:rsid w:val="00F46D36"/>
    <w:rsid w:val="00F47909"/>
    <w:rsid w:val="00F47B1F"/>
    <w:rsid w:val="00F50361"/>
    <w:rsid w:val="00F50CCA"/>
    <w:rsid w:val="00F51DB9"/>
    <w:rsid w:val="00F520E4"/>
    <w:rsid w:val="00F5296E"/>
    <w:rsid w:val="00F53113"/>
    <w:rsid w:val="00F559EB"/>
    <w:rsid w:val="00F55D5B"/>
    <w:rsid w:val="00F56B7D"/>
    <w:rsid w:val="00F57B95"/>
    <w:rsid w:val="00F57F0E"/>
    <w:rsid w:val="00F60238"/>
    <w:rsid w:val="00F608E4"/>
    <w:rsid w:val="00F60A41"/>
    <w:rsid w:val="00F61BD9"/>
    <w:rsid w:val="00F61D62"/>
    <w:rsid w:val="00F6275C"/>
    <w:rsid w:val="00F635AF"/>
    <w:rsid w:val="00F648D8"/>
    <w:rsid w:val="00F64F6E"/>
    <w:rsid w:val="00F65FE8"/>
    <w:rsid w:val="00F66583"/>
    <w:rsid w:val="00F70D59"/>
    <w:rsid w:val="00F7332D"/>
    <w:rsid w:val="00F73C8D"/>
    <w:rsid w:val="00F747E2"/>
    <w:rsid w:val="00F74D5E"/>
    <w:rsid w:val="00F7602A"/>
    <w:rsid w:val="00F7736C"/>
    <w:rsid w:val="00F7782E"/>
    <w:rsid w:val="00F77BC7"/>
    <w:rsid w:val="00F77E0B"/>
    <w:rsid w:val="00F806C2"/>
    <w:rsid w:val="00F80915"/>
    <w:rsid w:val="00F820F1"/>
    <w:rsid w:val="00F823A0"/>
    <w:rsid w:val="00F82A86"/>
    <w:rsid w:val="00F83627"/>
    <w:rsid w:val="00F83FF5"/>
    <w:rsid w:val="00F84572"/>
    <w:rsid w:val="00F851D4"/>
    <w:rsid w:val="00F854CF"/>
    <w:rsid w:val="00F85904"/>
    <w:rsid w:val="00F85D5E"/>
    <w:rsid w:val="00F8650D"/>
    <w:rsid w:val="00F87EF4"/>
    <w:rsid w:val="00F927B5"/>
    <w:rsid w:val="00F935A7"/>
    <w:rsid w:val="00F949B9"/>
    <w:rsid w:val="00F95826"/>
    <w:rsid w:val="00F960C4"/>
    <w:rsid w:val="00FA0BDC"/>
    <w:rsid w:val="00FA2538"/>
    <w:rsid w:val="00FA2ED6"/>
    <w:rsid w:val="00FA3373"/>
    <w:rsid w:val="00FA5C56"/>
    <w:rsid w:val="00FA6AFB"/>
    <w:rsid w:val="00FA6DD6"/>
    <w:rsid w:val="00FB08B2"/>
    <w:rsid w:val="00FB1AF1"/>
    <w:rsid w:val="00FB1D8C"/>
    <w:rsid w:val="00FB225A"/>
    <w:rsid w:val="00FB3D6F"/>
    <w:rsid w:val="00FB4251"/>
    <w:rsid w:val="00FB5388"/>
    <w:rsid w:val="00FB5E1E"/>
    <w:rsid w:val="00FC18A4"/>
    <w:rsid w:val="00FC215B"/>
    <w:rsid w:val="00FC2F47"/>
    <w:rsid w:val="00FC75B4"/>
    <w:rsid w:val="00FC7FC7"/>
    <w:rsid w:val="00FD0AE0"/>
    <w:rsid w:val="00FD0F53"/>
    <w:rsid w:val="00FD1840"/>
    <w:rsid w:val="00FD2612"/>
    <w:rsid w:val="00FD3A81"/>
    <w:rsid w:val="00FD4075"/>
    <w:rsid w:val="00FD4FAA"/>
    <w:rsid w:val="00FD55CA"/>
    <w:rsid w:val="00FD5EDF"/>
    <w:rsid w:val="00FD6A9A"/>
    <w:rsid w:val="00FD6BC0"/>
    <w:rsid w:val="00FD6EC7"/>
    <w:rsid w:val="00FD779C"/>
    <w:rsid w:val="00FE0227"/>
    <w:rsid w:val="00FE14A2"/>
    <w:rsid w:val="00FE2033"/>
    <w:rsid w:val="00FE464A"/>
    <w:rsid w:val="00FE4D26"/>
    <w:rsid w:val="00FE6FC4"/>
    <w:rsid w:val="00FF08B0"/>
    <w:rsid w:val="00FF0BB5"/>
    <w:rsid w:val="00FF23FA"/>
    <w:rsid w:val="00FF3119"/>
    <w:rsid w:val="00FF3F1F"/>
    <w:rsid w:val="00FF4AEA"/>
    <w:rsid w:val="00FF5959"/>
    <w:rsid w:val="00FF5A03"/>
    <w:rsid w:val="00FF642F"/>
    <w:rsid w:val="00FF6BC6"/>
    <w:rsid w:val="00FF75DA"/>
    <w:rsid w:val="71FC2E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ite"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3974"/>
    <w:pPr>
      <w:widowControl w:val="0"/>
      <w:jc w:val="both"/>
    </w:pPr>
    <w:rPr>
      <w:kern w:val="2"/>
      <w:sz w:val="21"/>
      <w:szCs w:val="24"/>
    </w:rPr>
  </w:style>
  <w:style w:type="paragraph" w:styleId="1">
    <w:name w:val="heading 1"/>
    <w:basedOn w:val="a"/>
    <w:next w:val="a"/>
    <w:link w:val="1Char"/>
    <w:qFormat/>
    <w:rsid w:val="0000742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B7A3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9D3974"/>
    <w:rPr>
      <w:kern w:val="2"/>
      <w:sz w:val="18"/>
      <w:szCs w:val="18"/>
    </w:rPr>
  </w:style>
  <w:style w:type="character" w:customStyle="1" w:styleId="Char0">
    <w:name w:val="页眉 Char"/>
    <w:basedOn w:val="a0"/>
    <w:link w:val="a4"/>
    <w:rsid w:val="009D3974"/>
    <w:rPr>
      <w:kern w:val="2"/>
      <w:sz w:val="18"/>
      <w:szCs w:val="18"/>
    </w:rPr>
  </w:style>
  <w:style w:type="character" w:styleId="a5">
    <w:name w:val="footnote reference"/>
    <w:basedOn w:val="a0"/>
    <w:uiPriority w:val="99"/>
    <w:rsid w:val="009D3974"/>
    <w:rPr>
      <w:vertAlign w:val="superscript"/>
    </w:rPr>
  </w:style>
  <w:style w:type="character" w:customStyle="1" w:styleId="Char1">
    <w:name w:val="脚注文本 Char"/>
    <w:basedOn w:val="a0"/>
    <w:link w:val="a6"/>
    <w:uiPriority w:val="99"/>
    <w:rsid w:val="009D3974"/>
    <w:rPr>
      <w:kern w:val="2"/>
      <w:sz w:val="18"/>
      <w:szCs w:val="18"/>
    </w:rPr>
  </w:style>
  <w:style w:type="paragraph" w:styleId="a4">
    <w:name w:val="header"/>
    <w:basedOn w:val="a"/>
    <w:link w:val="Char0"/>
    <w:rsid w:val="009D3974"/>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1"/>
    <w:uiPriority w:val="99"/>
    <w:rsid w:val="009D3974"/>
    <w:pPr>
      <w:snapToGrid w:val="0"/>
      <w:jc w:val="left"/>
    </w:pPr>
    <w:rPr>
      <w:sz w:val="18"/>
      <w:szCs w:val="18"/>
    </w:rPr>
  </w:style>
  <w:style w:type="paragraph" w:styleId="a3">
    <w:name w:val="footer"/>
    <w:basedOn w:val="a"/>
    <w:link w:val="Char"/>
    <w:uiPriority w:val="99"/>
    <w:rsid w:val="009D3974"/>
    <w:pPr>
      <w:tabs>
        <w:tab w:val="center" w:pos="4153"/>
        <w:tab w:val="right" w:pos="8306"/>
      </w:tabs>
      <w:snapToGrid w:val="0"/>
      <w:jc w:val="left"/>
    </w:pPr>
    <w:rPr>
      <w:sz w:val="18"/>
      <w:szCs w:val="18"/>
    </w:rPr>
  </w:style>
  <w:style w:type="paragraph" w:styleId="a7">
    <w:name w:val="Normal (Web)"/>
    <w:basedOn w:val="a"/>
    <w:uiPriority w:val="99"/>
    <w:unhideWhenUsed/>
    <w:rsid w:val="00CD585B"/>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5659AB"/>
    <w:rPr>
      <w:b/>
      <w:bCs/>
    </w:rPr>
  </w:style>
  <w:style w:type="character" w:styleId="a9">
    <w:name w:val="Hyperlink"/>
    <w:basedOn w:val="a0"/>
    <w:rsid w:val="00BB4E6F"/>
    <w:rPr>
      <w:color w:val="0000FF"/>
      <w:u w:val="single"/>
    </w:rPr>
  </w:style>
  <w:style w:type="character" w:customStyle="1" w:styleId="1Char">
    <w:name w:val="标题 1 Char"/>
    <w:basedOn w:val="a0"/>
    <w:link w:val="1"/>
    <w:rsid w:val="00007426"/>
    <w:rPr>
      <w:b/>
      <w:bCs/>
      <w:kern w:val="44"/>
      <w:sz w:val="44"/>
      <w:szCs w:val="44"/>
    </w:rPr>
  </w:style>
  <w:style w:type="character" w:customStyle="1" w:styleId="2Char">
    <w:name w:val="标题 2 Char"/>
    <w:basedOn w:val="a0"/>
    <w:link w:val="2"/>
    <w:semiHidden/>
    <w:rsid w:val="00EB7A3C"/>
    <w:rPr>
      <w:rFonts w:ascii="Cambria" w:eastAsia="宋体" w:hAnsi="Cambria" w:cs="Times New Roman"/>
      <w:b/>
      <w:bCs/>
      <w:kern w:val="2"/>
      <w:sz w:val="32"/>
      <w:szCs w:val="32"/>
    </w:rPr>
  </w:style>
  <w:style w:type="character" w:styleId="HTML">
    <w:name w:val="HTML Cite"/>
    <w:basedOn w:val="a0"/>
    <w:uiPriority w:val="99"/>
    <w:unhideWhenUsed/>
    <w:rsid w:val="00722D1B"/>
    <w:rPr>
      <w:i w:val="0"/>
      <w:iCs w:val="0"/>
    </w:rPr>
  </w:style>
  <w:style w:type="character" w:styleId="aa">
    <w:name w:val="Emphasis"/>
    <w:basedOn w:val="a0"/>
    <w:uiPriority w:val="20"/>
    <w:qFormat/>
    <w:rsid w:val="00722D1B"/>
    <w:rPr>
      <w:i w:val="0"/>
      <w:iCs w:val="0"/>
    </w:rPr>
  </w:style>
  <w:style w:type="character" w:customStyle="1" w:styleId="time10">
    <w:name w:val="time10"/>
    <w:basedOn w:val="a0"/>
    <w:rsid w:val="00722D1B"/>
    <w:rPr>
      <w:rFonts w:ascii="Arial" w:hAnsi="Arial" w:cs="Arial" w:hint="default"/>
      <w:sz w:val="10"/>
      <w:szCs w:val="10"/>
    </w:rPr>
  </w:style>
  <w:style w:type="character" w:customStyle="1" w:styleId="sgtxtb6">
    <w:name w:val="sg_txtb6"/>
    <w:basedOn w:val="a0"/>
    <w:rsid w:val="00722D1B"/>
    <w:rPr>
      <w:rFonts w:ascii="宋体" w:eastAsia="宋体" w:hAnsi="宋体" w:hint="eastAsia"/>
      <w:color w:val="878787"/>
    </w:rPr>
  </w:style>
  <w:style w:type="character" w:customStyle="1" w:styleId="sgtxtb7">
    <w:name w:val="sg_txtb7"/>
    <w:basedOn w:val="a0"/>
    <w:rsid w:val="00722D1B"/>
    <w:rPr>
      <w:rFonts w:ascii="宋体" w:eastAsia="宋体" w:hAnsi="宋体" w:hint="eastAsia"/>
      <w:color w:val="878787"/>
    </w:rPr>
  </w:style>
  <w:style w:type="character" w:customStyle="1" w:styleId="collect-text">
    <w:name w:val="collect-text"/>
    <w:basedOn w:val="a0"/>
    <w:rsid w:val="00450A22"/>
  </w:style>
  <w:style w:type="character" w:customStyle="1" w:styleId="vote-count2">
    <w:name w:val="vote-count2"/>
    <w:basedOn w:val="a0"/>
    <w:rsid w:val="00450A22"/>
  </w:style>
  <w:style w:type="character" w:customStyle="1" w:styleId="vote-tip2">
    <w:name w:val="vote-tip2"/>
    <w:basedOn w:val="a0"/>
    <w:rsid w:val="00450A22"/>
  </w:style>
  <w:style w:type="character" w:customStyle="1" w:styleId="voted-tip2">
    <w:name w:val="voted-tip2"/>
    <w:basedOn w:val="a0"/>
    <w:rsid w:val="00450A22"/>
  </w:style>
  <w:style w:type="character" w:customStyle="1" w:styleId="share-count">
    <w:name w:val="share-count"/>
    <w:basedOn w:val="a0"/>
    <w:rsid w:val="00450A22"/>
  </w:style>
  <w:style w:type="paragraph" w:styleId="ab">
    <w:name w:val="Balloon Text"/>
    <w:basedOn w:val="a"/>
    <w:link w:val="Char2"/>
    <w:rsid w:val="008F2BFC"/>
    <w:rPr>
      <w:sz w:val="18"/>
      <w:szCs w:val="18"/>
    </w:rPr>
  </w:style>
  <w:style w:type="character" w:customStyle="1" w:styleId="Char2">
    <w:name w:val="批注框文本 Char"/>
    <w:basedOn w:val="a0"/>
    <w:link w:val="ab"/>
    <w:rsid w:val="008F2BFC"/>
    <w:rPr>
      <w:kern w:val="2"/>
      <w:sz w:val="18"/>
      <w:szCs w:val="18"/>
    </w:rPr>
  </w:style>
  <w:style w:type="paragraph" w:styleId="ac">
    <w:name w:val="List Paragraph"/>
    <w:basedOn w:val="a"/>
    <w:uiPriority w:val="34"/>
    <w:qFormat/>
    <w:rsid w:val="00AB4B0B"/>
    <w:pPr>
      <w:spacing w:line="336" w:lineRule="auto"/>
      <w:ind w:firstLineChars="200" w:firstLine="420"/>
    </w:pPr>
    <w:rPr>
      <w:rFonts w:ascii="Calibri" w:hAnsi="Calibri"/>
      <w:szCs w:val="22"/>
    </w:rPr>
  </w:style>
  <w:style w:type="table" w:styleId="ad">
    <w:name w:val="Table Grid"/>
    <w:basedOn w:val="a1"/>
    <w:uiPriority w:val="59"/>
    <w:rsid w:val="00EC189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74125">
      <w:bodyDiv w:val="1"/>
      <w:marLeft w:val="0"/>
      <w:marRight w:val="0"/>
      <w:marTop w:val="0"/>
      <w:marBottom w:val="0"/>
      <w:divBdr>
        <w:top w:val="none" w:sz="0" w:space="0" w:color="auto"/>
        <w:left w:val="none" w:sz="0" w:space="0" w:color="auto"/>
        <w:bottom w:val="none" w:sz="0" w:space="0" w:color="auto"/>
        <w:right w:val="none" w:sz="0" w:space="0" w:color="auto"/>
      </w:divBdr>
      <w:divsChild>
        <w:div w:id="176237154">
          <w:marLeft w:val="0"/>
          <w:marRight w:val="0"/>
          <w:marTop w:val="0"/>
          <w:marBottom w:val="0"/>
          <w:divBdr>
            <w:top w:val="none" w:sz="0" w:space="0" w:color="auto"/>
            <w:left w:val="none" w:sz="0" w:space="0" w:color="auto"/>
            <w:bottom w:val="none" w:sz="0" w:space="0" w:color="auto"/>
            <w:right w:val="none" w:sz="0" w:space="0" w:color="auto"/>
          </w:divBdr>
          <w:divsChild>
            <w:div w:id="1786149283">
              <w:marLeft w:val="0"/>
              <w:marRight w:val="0"/>
              <w:marTop w:val="0"/>
              <w:marBottom w:val="0"/>
              <w:divBdr>
                <w:top w:val="none" w:sz="0" w:space="0" w:color="auto"/>
                <w:left w:val="none" w:sz="0" w:space="0" w:color="auto"/>
                <w:bottom w:val="none" w:sz="0" w:space="0" w:color="auto"/>
                <w:right w:val="none" w:sz="0" w:space="0" w:color="auto"/>
              </w:divBdr>
              <w:divsChild>
                <w:div w:id="1822228816">
                  <w:marLeft w:val="0"/>
                  <w:marRight w:val="0"/>
                  <w:marTop w:val="0"/>
                  <w:marBottom w:val="0"/>
                  <w:divBdr>
                    <w:top w:val="none" w:sz="0" w:space="0" w:color="auto"/>
                    <w:left w:val="none" w:sz="0" w:space="0" w:color="auto"/>
                    <w:bottom w:val="none" w:sz="0" w:space="0" w:color="auto"/>
                    <w:right w:val="none" w:sz="0" w:space="0" w:color="auto"/>
                  </w:divBdr>
                  <w:divsChild>
                    <w:div w:id="2108037418">
                      <w:marLeft w:val="0"/>
                      <w:marRight w:val="0"/>
                      <w:marTop w:val="0"/>
                      <w:marBottom w:val="0"/>
                      <w:divBdr>
                        <w:top w:val="none" w:sz="0" w:space="0" w:color="auto"/>
                        <w:left w:val="none" w:sz="0" w:space="0" w:color="auto"/>
                        <w:bottom w:val="none" w:sz="0" w:space="0" w:color="auto"/>
                        <w:right w:val="none" w:sz="0" w:space="0" w:color="auto"/>
                      </w:divBdr>
                      <w:divsChild>
                        <w:div w:id="1136023528">
                          <w:marLeft w:val="0"/>
                          <w:marRight w:val="0"/>
                          <w:marTop w:val="0"/>
                          <w:marBottom w:val="0"/>
                          <w:divBdr>
                            <w:top w:val="none" w:sz="0" w:space="0" w:color="auto"/>
                            <w:left w:val="none" w:sz="0" w:space="0" w:color="auto"/>
                            <w:bottom w:val="none" w:sz="0" w:space="0" w:color="auto"/>
                            <w:right w:val="none" w:sz="0" w:space="0" w:color="auto"/>
                          </w:divBdr>
                          <w:divsChild>
                            <w:div w:id="17973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16974">
      <w:bodyDiv w:val="1"/>
      <w:marLeft w:val="0"/>
      <w:marRight w:val="0"/>
      <w:marTop w:val="0"/>
      <w:marBottom w:val="0"/>
      <w:divBdr>
        <w:top w:val="none" w:sz="0" w:space="0" w:color="auto"/>
        <w:left w:val="none" w:sz="0" w:space="0" w:color="auto"/>
        <w:bottom w:val="none" w:sz="0" w:space="0" w:color="auto"/>
        <w:right w:val="none" w:sz="0" w:space="0" w:color="auto"/>
      </w:divBdr>
      <w:divsChild>
        <w:div w:id="1679117594">
          <w:marLeft w:val="0"/>
          <w:marRight w:val="0"/>
          <w:marTop w:val="0"/>
          <w:marBottom w:val="0"/>
          <w:divBdr>
            <w:top w:val="none" w:sz="0" w:space="0" w:color="auto"/>
            <w:left w:val="none" w:sz="0" w:space="0" w:color="auto"/>
            <w:bottom w:val="none" w:sz="0" w:space="0" w:color="auto"/>
            <w:right w:val="none" w:sz="0" w:space="0" w:color="auto"/>
          </w:divBdr>
          <w:divsChild>
            <w:div w:id="502013990">
              <w:marLeft w:val="0"/>
              <w:marRight w:val="0"/>
              <w:marTop w:val="0"/>
              <w:marBottom w:val="0"/>
              <w:divBdr>
                <w:top w:val="none" w:sz="0" w:space="0" w:color="auto"/>
                <w:left w:val="none" w:sz="0" w:space="0" w:color="auto"/>
                <w:bottom w:val="none" w:sz="0" w:space="0" w:color="auto"/>
                <w:right w:val="none" w:sz="0" w:space="0" w:color="auto"/>
              </w:divBdr>
              <w:divsChild>
                <w:div w:id="913517258">
                  <w:marLeft w:val="0"/>
                  <w:marRight w:val="0"/>
                  <w:marTop w:val="0"/>
                  <w:marBottom w:val="0"/>
                  <w:divBdr>
                    <w:top w:val="none" w:sz="0" w:space="0" w:color="auto"/>
                    <w:left w:val="none" w:sz="0" w:space="0" w:color="auto"/>
                    <w:bottom w:val="none" w:sz="0" w:space="0" w:color="auto"/>
                    <w:right w:val="none" w:sz="0" w:space="0" w:color="auto"/>
                  </w:divBdr>
                  <w:divsChild>
                    <w:div w:id="1704014870">
                      <w:marLeft w:val="100"/>
                      <w:marRight w:val="0"/>
                      <w:marTop w:val="0"/>
                      <w:marBottom w:val="0"/>
                      <w:divBdr>
                        <w:top w:val="none" w:sz="0" w:space="0" w:color="auto"/>
                        <w:left w:val="none" w:sz="0" w:space="0" w:color="auto"/>
                        <w:bottom w:val="none" w:sz="0" w:space="0" w:color="auto"/>
                        <w:right w:val="none" w:sz="0" w:space="0" w:color="auto"/>
                      </w:divBdr>
                      <w:divsChild>
                        <w:div w:id="1966618243">
                          <w:marLeft w:val="0"/>
                          <w:marRight w:val="0"/>
                          <w:marTop w:val="0"/>
                          <w:marBottom w:val="100"/>
                          <w:divBdr>
                            <w:top w:val="none" w:sz="0" w:space="0" w:color="auto"/>
                            <w:left w:val="none" w:sz="0" w:space="0" w:color="auto"/>
                            <w:bottom w:val="none" w:sz="0" w:space="0" w:color="auto"/>
                            <w:right w:val="none" w:sz="0" w:space="0" w:color="auto"/>
                          </w:divBdr>
                          <w:divsChild>
                            <w:div w:id="82457576">
                              <w:marLeft w:val="0"/>
                              <w:marRight w:val="0"/>
                              <w:marTop w:val="0"/>
                              <w:marBottom w:val="0"/>
                              <w:divBdr>
                                <w:top w:val="none" w:sz="0" w:space="0" w:color="auto"/>
                                <w:left w:val="none" w:sz="0" w:space="0" w:color="auto"/>
                                <w:bottom w:val="none" w:sz="0" w:space="0" w:color="auto"/>
                                <w:right w:val="none" w:sz="0" w:space="0" w:color="auto"/>
                              </w:divBdr>
                              <w:divsChild>
                                <w:div w:id="1370569642">
                                  <w:marLeft w:val="0"/>
                                  <w:marRight w:val="0"/>
                                  <w:marTop w:val="0"/>
                                  <w:marBottom w:val="0"/>
                                  <w:divBdr>
                                    <w:top w:val="none" w:sz="0" w:space="0" w:color="auto"/>
                                    <w:left w:val="none" w:sz="0" w:space="0" w:color="auto"/>
                                    <w:bottom w:val="none" w:sz="0" w:space="0" w:color="auto"/>
                                    <w:right w:val="none" w:sz="0" w:space="0" w:color="auto"/>
                                  </w:divBdr>
                                  <w:divsChild>
                                    <w:div w:id="2609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3373">
      <w:bodyDiv w:val="1"/>
      <w:marLeft w:val="0"/>
      <w:marRight w:val="0"/>
      <w:marTop w:val="0"/>
      <w:marBottom w:val="0"/>
      <w:divBdr>
        <w:top w:val="none" w:sz="0" w:space="0" w:color="auto"/>
        <w:left w:val="none" w:sz="0" w:space="0" w:color="auto"/>
        <w:bottom w:val="none" w:sz="0" w:space="0" w:color="auto"/>
        <w:right w:val="none" w:sz="0" w:space="0" w:color="auto"/>
      </w:divBdr>
      <w:divsChild>
        <w:div w:id="1180924680">
          <w:marLeft w:val="0"/>
          <w:marRight w:val="0"/>
          <w:marTop w:val="0"/>
          <w:marBottom w:val="0"/>
          <w:divBdr>
            <w:top w:val="none" w:sz="0" w:space="0" w:color="auto"/>
            <w:left w:val="none" w:sz="0" w:space="0" w:color="auto"/>
            <w:bottom w:val="none" w:sz="0" w:space="0" w:color="auto"/>
            <w:right w:val="none" w:sz="0" w:space="0" w:color="auto"/>
          </w:divBdr>
          <w:divsChild>
            <w:div w:id="24260870">
              <w:marLeft w:val="0"/>
              <w:marRight w:val="0"/>
              <w:marTop w:val="0"/>
              <w:marBottom w:val="0"/>
              <w:divBdr>
                <w:top w:val="none" w:sz="0" w:space="0" w:color="auto"/>
                <w:left w:val="none" w:sz="0" w:space="0" w:color="auto"/>
                <w:bottom w:val="none" w:sz="0" w:space="0" w:color="auto"/>
                <w:right w:val="none" w:sz="0" w:space="0" w:color="auto"/>
              </w:divBdr>
              <w:divsChild>
                <w:div w:id="835337410">
                  <w:marLeft w:val="0"/>
                  <w:marRight w:val="0"/>
                  <w:marTop w:val="0"/>
                  <w:marBottom w:val="0"/>
                  <w:divBdr>
                    <w:top w:val="none" w:sz="0" w:space="0" w:color="auto"/>
                    <w:left w:val="none" w:sz="0" w:space="0" w:color="auto"/>
                    <w:bottom w:val="none" w:sz="0" w:space="0" w:color="auto"/>
                    <w:right w:val="none" w:sz="0" w:space="0" w:color="auto"/>
                  </w:divBdr>
                  <w:divsChild>
                    <w:div w:id="8562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5080">
      <w:bodyDiv w:val="1"/>
      <w:marLeft w:val="0"/>
      <w:marRight w:val="0"/>
      <w:marTop w:val="0"/>
      <w:marBottom w:val="0"/>
      <w:divBdr>
        <w:top w:val="none" w:sz="0" w:space="0" w:color="auto"/>
        <w:left w:val="none" w:sz="0" w:space="0" w:color="auto"/>
        <w:bottom w:val="none" w:sz="0" w:space="0" w:color="auto"/>
        <w:right w:val="none" w:sz="0" w:space="0" w:color="auto"/>
      </w:divBdr>
      <w:divsChild>
        <w:div w:id="1208839743">
          <w:marLeft w:val="0"/>
          <w:marRight w:val="0"/>
          <w:marTop w:val="0"/>
          <w:marBottom w:val="0"/>
          <w:divBdr>
            <w:top w:val="none" w:sz="0" w:space="0" w:color="auto"/>
            <w:left w:val="none" w:sz="0" w:space="0" w:color="auto"/>
            <w:bottom w:val="none" w:sz="0" w:space="0" w:color="auto"/>
            <w:right w:val="none" w:sz="0" w:space="0" w:color="auto"/>
          </w:divBdr>
          <w:divsChild>
            <w:div w:id="166292282">
              <w:marLeft w:val="0"/>
              <w:marRight w:val="0"/>
              <w:marTop w:val="0"/>
              <w:marBottom w:val="0"/>
              <w:divBdr>
                <w:top w:val="none" w:sz="0" w:space="0" w:color="auto"/>
                <w:left w:val="none" w:sz="0" w:space="0" w:color="auto"/>
                <w:bottom w:val="none" w:sz="0" w:space="0" w:color="auto"/>
                <w:right w:val="none" w:sz="0" w:space="0" w:color="auto"/>
              </w:divBdr>
              <w:divsChild>
                <w:div w:id="1359745429">
                  <w:marLeft w:val="0"/>
                  <w:marRight w:val="0"/>
                  <w:marTop w:val="0"/>
                  <w:marBottom w:val="0"/>
                  <w:divBdr>
                    <w:top w:val="none" w:sz="0" w:space="0" w:color="auto"/>
                    <w:left w:val="none" w:sz="0" w:space="0" w:color="auto"/>
                    <w:bottom w:val="none" w:sz="0" w:space="0" w:color="auto"/>
                    <w:right w:val="none" w:sz="0" w:space="0" w:color="auto"/>
                  </w:divBdr>
                  <w:divsChild>
                    <w:div w:id="1477802305">
                      <w:marLeft w:val="0"/>
                      <w:marRight w:val="0"/>
                      <w:marTop w:val="0"/>
                      <w:marBottom w:val="0"/>
                      <w:divBdr>
                        <w:top w:val="none" w:sz="0" w:space="0" w:color="auto"/>
                        <w:left w:val="none" w:sz="0" w:space="0" w:color="auto"/>
                        <w:bottom w:val="none" w:sz="0" w:space="0" w:color="auto"/>
                        <w:right w:val="none" w:sz="0" w:space="0" w:color="auto"/>
                      </w:divBdr>
                      <w:divsChild>
                        <w:div w:id="825364236">
                          <w:marLeft w:val="0"/>
                          <w:marRight w:val="0"/>
                          <w:marTop w:val="0"/>
                          <w:marBottom w:val="0"/>
                          <w:divBdr>
                            <w:top w:val="none" w:sz="0" w:space="0" w:color="auto"/>
                            <w:left w:val="single" w:sz="4" w:space="0" w:color="FBC6A6"/>
                            <w:bottom w:val="single" w:sz="4" w:space="0" w:color="FBC6A6"/>
                            <w:right w:val="single" w:sz="4" w:space="0" w:color="FBC6A6"/>
                          </w:divBdr>
                          <w:divsChild>
                            <w:div w:id="274334017">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44437">
      <w:bodyDiv w:val="1"/>
      <w:marLeft w:val="0"/>
      <w:marRight w:val="0"/>
      <w:marTop w:val="0"/>
      <w:marBottom w:val="0"/>
      <w:divBdr>
        <w:top w:val="none" w:sz="0" w:space="0" w:color="auto"/>
        <w:left w:val="none" w:sz="0" w:space="0" w:color="auto"/>
        <w:bottom w:val="none" w:sz="0" w:space="0" w:color="auto"/>
        <w:right w:val="none" w:sz="0" w:space="0" w:color="auto"/>
      </w:divBdr>
      <w:divsChild>
        <w:div w:id="1624337936">
          <w:marLeft w:val="0"/>
          <w:marRight w:val="0"/>
          <w:marTop w:val="0"/>
          <w:marBottom w:val="0"/>
          <w:divBdr>
            <w:top w:val="none" w:sz="0" w:space="0" w:color="auto"/>
            <w:left w:val="none" w:sz="0" w:space="0" w:color="auto"/>
            <w:bottom w:val="none" w:sz="0" w:space="0" w:color="auto"/>
            <w:right w:val="none" w:sz="0" w:space="0" w:color="auto"/>
          </w:divBdr>
          <w:divsChild>
            <w:div w:id="1142305688">
              <w:marLeft w:val="0"/>
              <w:marRight w:val="0"/>
              <w:marTop w:val="0"/>
              <w:marBottom w:val="0"/>
              <w:divBdr>
                <w:top w:val="none" w:sz="0" w:space="0" w:color="auto"/>
                <w:left w:val="none" w:sz="0" w:space="0" w:color="auto"/>
                <w:bottom w:val="none" w:sz="0" w:space="0" w:color="auto"/>
                <w:right w:val="none" w:sz="0" w:space="0" w:color="auto"/>
              </w:divBdr>
              <w:divsChild>
                <w:div w:id="898705366">
                  <w:marLeft w:val="0"/>
                  <w:marRight w:val="0"/>
                  <w:marTop w:val="0"/>
                  <w:marBottom w:val="0"/>
                  <w:divBdr>
                    <w:top w:val="none" w:sz="0" w:space="0" w:color="auto"/>
                    <w:left w:val="none" w:sz="0" w:space="0" w:color="auto"/>
                    <w:bottom w:val="none" w:sz="0" w:space="0" w:color="auto"/>
                    <w:right w:val="none" w:sz="0" w:space="0" w:color="auto"/>
                  </w:divBdr>
                  <w:divsChild>
                    <w:div w:id="1459686035">
                      <w:marLeft w:val="100"/>
                      <w:marRight w:val="0"/>
                      <w:marTop w:val="0"/>
                      <w:marBottom w:val="0"/>
                      <w:divBdr>
                        <w:top w:val="none" w:sz="0" w:space="0" w:color="auto"/>
                        <w:left w:val="none" w:sz="0" w:space="0" w:color="auto"/>
                        <w:bottom w:val="none" w:sz="0" w:space="0" w:color="auto"/>
                        <w:right w:val="none" w:sz="0" w:space="0" w:color="auto"/>
                      </w:divBdr>
                      <w:divsChild>
                        <w:div w:id="380711878">
                          <w:marLeft w:val="0"/>
                          <w:marRight w:val="0"/>
                          <w:marTop w:val="0"/>
                          <w:marBottom w:val="100"/>
                          <w:divBdr>
                            <w:top w:val="none" w:sz="0" w:space="0" w:color="auto"/>
                            <w:left w:val="none" w:sz="0" w:space="0" w:color="auto"/>
                            <w:bottom w:val="none" w:sz="0" w:space="0" w:color="auto"/>
                            <w:right w:val="none" w:sz="0" w:space="0" w:color="auto"/>
                          </w:divBdr>
                          <w:divsChild>
                            <w:div w:id="1601987041">
                              <w:marLeft w:val="0"/>
                              <w:marRight w:val="0"/>
                              <w:marTop w:val="0"/>
                              <w:marBottom w:val="0"/>
                              <w:divBdr>
                                <w:top w:val="none" w:sz="0" w:space="0" w:color="auto"/>
                                <w:left w:val="none" w:sz="0" w:space="0" w:color="auto"/>
                                <w:bottom w:val="none" w:sz="0" w:space="0" w:color="auto"/>
                                <w:right w:val="none" w:sz="0" w:space="0" w:color="auto"/>
                              </w:divBdr>
                              <w:divsChild>
                                <w:div w:id="1156725440">
                                  <w:marLeft w:val="0"/>
                                  <w:marRight w:val="0"/>
                                  <w:marTop w:val="0"/>
                                  <w:marBottom w:val="0"/>
                                  <w:divBdr>
                                    <w:top w:val="none" w:sz="0" w:space="0" w:color="auto"/>
                                    <w:left w:val="none" w:sz="0" w:space="0" w:color="auto"/>
                                    <w:bottom w:val="none" w:sz="0" w:space="0" w:color="auto"/>
                                    <w:right w:val="none" w:sz="0" w:space="0" w:color="auto"/>
                                  </w:divBdr>
                                  <w:divsChild>
                                    <w:div w:id="10507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058220">
      <w:bodyDiv w:val="1"/>
      <w:marLeft w:val="0"/>
      <w:marRight w:val="0"/>
      <w:marTop w:val="0"/>
      <w:marBottom w:val="0"/>
      <w:divBdr>
        <w:top w:val="none" w:sz="0" w:space="0" w:color="auto"/>
        <w:left w:val="none" w:sz="0" w:space="0" w:color="auto"/>
        <w:bottom w:val="none" w:sz="0" w:space="0" w:color="auto"/>
        <w:right w:val="none" w:sz="0" w:space="0" w:color="auto"/>
      </w:divBdr>
      <w:divsChild>
        <w:div w:id="1919945766">
          <w:marLeft w:val="0"/>
          <w:marRight w:val="0"/>
          <w:marTop w:val="0"/>
          <w:marBottom w:val="0"/>
          <w:divBdr>
            <w:top w:val="none" w:sz="0" w:space="0" w:color="auto"/>
            <w:left w:val="none" w:sz="0" w:space="0" w:color="auto"/>
            <w:bottom w:val="none" w:sz="0" w:space="0" w:color="auto"/>
            <w:right w:val="none" w:sz="0" w:space="0" w:color="auto"/>
          </w:divBdr>
        </w:div>
      </w:divsChild>
    </w:div>
    <w:div w:id="238904493">
      <w:bodyDiv w:val="1"/>
      <w:marLeft w:val="0"/>
      <w:marRight w:val="0"/>
      <w:marTop w:val="0"/>
      <w:marBottom w:val="0"/>
      <w:divBdr>
        <w:top w:val="none" w:sz="0" w:space="0" w:color="auto"/>
        <w:left w:val="none" w:sz="0" w:space="0" w:color="auto"/>
        <w:bottom w:val="none" w:sz="0" w:space="0" w:color="auto"/>
        <w:right w:val="none" w:sz="0" w:space="0" w:color="auto"/>
      </w:divBdr>
      <w:divsChild>
        <w:div w:id="1769038755">
          <w:marLeft w:val="0"/>
          <w:marRight w:val="0"/>
          <w:marTop w:val="0"/>
          <w:marBottom w:val="0"/>
          <w:divBdr>
            <w:top w:val="none" w:sz="0" w:space="0" w:color="auto"/>
            <w:left w:val="none" w:sz="0" w:space="0" w:color="auto"/>
            <w:bottom w:val="none" w:sz="0" w:space="0" w:color="auto"/>
            <w:right w:val="none" w:sz="0" w:space="0" w:color="auto"/>
          </w:divBdr>
          <w:divsChild>
            <w:div w:id="136571558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40872788">
      <w:bodyDiv w:val="1"/>
      <w:marLeft w:val="0"/>
      <w:marRight w:val="0"/>
      <w:marTop w:val="0"/>
      <w:marBottom w:val="0"/>
      <w:divBdr>
        <w:top w:val="none" w:sz="0" w:space="0" w:color="auto"/>
        <w:left w:val="none" w:sz="0" w:space="0" w:color="auto"/>
        <w:bottom w:val="none" w:sz="0" w:space="0" w:color="auto"/>
        <w:right w:val="none" w:sz="0" w:space="0" w:color="auto"/>
      </w:divBdr>
      <w:divsChild>
        <w:div w:id="407769563">
          <w:marLeft w:val="0"/>
          <w:marRight w:val="0"/>
          <w:marTop w:val="0"/>
          <w:marBottom w:val="0"/>
          <w:divBdr>
            <w:top w:val="none" w:sz="0" w:space="0" w:color="auto"/>
            <w:left w:val="none" w:sz="0" w:space="0" w:color="auto"/>
            <w:bottom w:val="none" w:sz="0" w:space="0" w:color="auto"/>
            <w:right w:val="none" w:sz="0" w:space="0" w:color="auto"/>
          </w:divBdr>
          <w:divsChild>
            <w:div w:id="2074044270">
              <w:marLeft w:val="0"/>
              <w:marRight w:val="0"/>
              <w:marTop w:val="0"/>
              <w:marBottom w:val="0"/>
              <w:divBdr>
                <w:top w:val="none" w:sz="0" w:space="0" w:color="auto"/>
                <w:left w:val="none" w:sz="0" w:space="0" w:color="auto"/>
                <w:bottom w:val="none" w:sz="0" w:space="0" w:color="auto"/>
                <w:right w:val="none" w:sz="0" w:space="0" w:color="auto"/>
              </w:divBdr>
              <w:divsChild>
                <w:div w:id="1399595761">
                  <w:marLeft w:val="0"/>
                  <w:marRight w:val="0"/>
                  <w:marTop w:val="0"/>
                  <w:marBottom w:val="0"/>
                  <w:divBdr>
                    <w:top w:val="none" w:sz="0" w:space="0" w:color="auto"/>
                    <w:left w:val="none" w:sz="0" w:space="0" w:color="auto"/>
                    <w:bottom w:val="none" w:sz="0" w:space="0" w:color="auto"/>
                    <w:right w:val="none" w:sz="0" w:space="0" w:color="auto"/>
                  </w:divBdr>
                  <w:divsChild>
                    <w:div w:id="342364900">
                      <w:marLeft w:val="0"/>
                      <w:marRight w:val="0"/>
                      <w:marTop w:val="0"/>
                      <w:marBottom w:val="0"/>
                      <w:divBdr>
                        <w:top w:val="none" w:sz="0" w:space="0" w:color="auto"/>
                        <w:left w:val="none" w:sz="0" w:space="0" w:color="auto"/>
                        <w:bottom w:val="none" w:sz="0" w:space="0" w:color="auto"/>
                        <w:right w:val="none" w:sz="0" w:space="0" w:color="auto"/>
                      </w:divBdr>
                      <w:divsChild>
                        <w:div w:id="523981058">
                          <w:marLeft w:val="0"/>
                          <w:marRight w:val="0"/>
                          <w:marTop w:val="0"/>
                          <w:marBottom w:val="0"/>
                          <w:divBdr>
                            <w:top w:val="none" w:sz="0" w:space="0" w:color="auto"/>
                            <w:left w:val="none" w:sz="0" w:space="0" w:color="auto"/>
                            <w:bottom w:val="none" w:sz="0" w:space="0" w:color="auto"/>
                            <w:right w:val="none" w:sz="0" w:space="0" w:color="auto"/>
                          </w:divBdr>
                        </w:div>
                        <w:div w:id="1338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703805">
      <w:bodyDiv w:val="1"/>
      <w:marLeft w:val="0"/>
      <w:marRight w:val="0"/>
      <w:marTop w:val="0"/>
      <w:marBottom w:val="0"/>
      <w:divBdr>
        <w:top w:val="none" w:sz="0" w:space="0" w:color="auto"/>
        <w:left w:val="none" w:sz="0" w:space="0" w:color="auto"/>
        <w:bottom w:val="none" w:sz="0" w:space="0" w:color="auto"/>
        <w:right w:val="none" w:sz="0" w:space="0" w:color="auto"/>
      </w:divBdr>
      <w:divsChild>
        <w:div w:id="318729351">
          <w:marLeft w:val="0"/>
          <w:marRight w:val="0"/>
          <w:marTop w:val="0"/>
          <w:marBottom w:val="0"/>
          <w:divBdr>
            <w:top w:val="none" w:sz="0" w:space="0" w:color="auto"/>
            <w:left w:val="none" w:sz="0" w:space="0" w:color="auto"/>
            <w:bottom w:val="none" w:sz="0" w:space="0" w:color="auto"/>
            <w:right w:val="none" w:sz="0" w:space="0" w:color="auto"/>
          </w:divBdr>
          <w:divsChild>
            <w:div w:id="559169694">
              <w:marLeft w:val="0"/>
              <w:marRight w:val="0"/>
              <w:marTop w:val="200"/>
              <w:marBottom w:val="0"/>
              <w:divBdr>
                <w:top w:val="none" w:sz="0" w:space="0" w:color="auto"/>
                <w:left w:val="none" w:sz="0" w:space="0" w:color="auto"/>
                <w:bottom w:val="none" w:sz="0" w:space="0" w:color="auto"/>
                <w:right w:val="none" w:sz="0" w:space="0" w:color="auto"/>
              </w:divBdr>
              <w:divsChild>
                <w:div w:id="1405181309">
                  <w:marLeft w:val="0"/>
                  <w:marRight w:val="0"/>
                  <w:marTop w:val="0"/>
                  <w:marBottom w:val="0"/>
                  <w:divBdr>
                    <w:top w:val="single" w:sz="4" w:space="0" w:color="E5E5E5"/>
                    <w:left w:val="single" w:sz="4" w:space="0" w:color="E5E5E5"/>
                    <w:bottom w:val="single" w:sz="4" w:space="0" w:color="E5E5E5"/>
                    <w:right w:val="single" w:sz="4" w:space="0" w:color="E5E5E5"/>
                  </w:divBdr>
                  <w:divsChild>
                    <w:div w:id="1958291107">
                      <w:marLeft w:val="0"/>
                      <w:marRight w:val="0"/>
                      <w:marTop w:val="0"/>
                      <w:marBottom w:val="0"/>
                      <w:divBdr>
                        <w:top w:val="none" w:sz="0" w:space="0" w:color="auto"/>
                        <w:left w:val="none" w:sz="0" w:space="0" w:color="auto"/>
                        <w:bottom w:val="none" w:sz="0" w:space="0" w:color="auto"/>
                        <w:right w:val="none" w:sz="0" w:space="0" w:color="auto"/>
                      </w:divBdr>
                      <w:divsChild>
                        <w:div w:id="320353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0989014">
      <w:bodyDiv w:val="1"/>
      <w:marLeft w:val="0"/>
      <w:marRight w:val="0"/>
      <w:marTop w:val="0"/>
      <w:marBottom w:val="0"/>
      <w:divBdr>
        <w:top w:val="none" w:sz="0" w:space="0" w:color="auto"/>
        <w:left w:val="none" w:sz="0" w:space="0" w:color="auto"/>
        <w:bottom w:val="none" w:sz="0" w:space="0" w:color="auto"/>
        <w:right w:val="none" w:sz="0" w:space="0" w:color="auto"/>
      </w:divBdr>
      <w:divsChild>
        <w:div w:id="833376385">
          <w:marLeft w:val="0"/>
          <w:marRight w:val="0"/>
          <w:marTop w:val="0"/>
          <w:marBottom w:val="0"/>
          <w:divBdr>
            <w:top w:val="none" w:sz="0" w:space="0" w:color="auto"/>
            <w:left w:val="none" w:sz="0" w:space="0" w:color="auto"/>
            <w:bottom w:val="none" w:sz="0" w:space="0" w:color="auto"/>
            <w:right w:val="none" w:sz="0" w:space="0" w:color="auto"/>
          </w:divBdr>
          <w:divsChild>
            <w:div w:id="917712750">
              <w:marLeft w:val="0"/>
              <w:marRight w:val="0"/>
              <w:marTop w:val="0"/>
              <w:marBottom w:val="0"/>
              <w:divBdr>
                <w:top w:val="none" w:sz="0" w:space="0" w:color="auto"/>
                <w:left w:val="none" w:sz="0" w:space="0" w:color="auto"/>
                <w:bottom w:val="none" w:sz="0" w:space="0" w:color="auto"/>
                <w:right w:val="none" w:sz="0" w:space="0" w:color="auto"/>
              </w:divBdr>
              <w:divsChild>
                <w:div w:id="145168233">
                  <w:marLeft w:val="0"/>
                  <w:marRight w:val="0"/>
                  <w:marTop w:val="0"/>
                  <w:marBottom w:val="0"/>
                  <w:divBdr>
                    <w:top w:val="none" w:sz="0" w:space="0" w:color="auto"/>
                    <w:left w:val="none" w:sz="0" w:space="0" w:color="auto"/>
                    <w:bottom w:val="none" w:sz="0" w:space="0" w:color="auto"/>
                    <w:right w:val="none" w:sz="0" w:space="0" w:color="auto"/>
                  </w:divBdr>
                  <w:divsChild>
                    <w:div w:id="16079134">
                      <w:marLeft w:val="0"/>
                      <w:marRight w:val="0"/>
                      <w:marTop w:val="0"/>
                      <w:marBottom w:val="0"/>
                      <w:divBdr>
                        <w:top w:val="none" w:sz="0" w:space="0" w:color="auto"/>
                        <w:left w:val="none" w:sz="0" w:space="0" w:color="auto"/>
                        <w:bottom w:val="none" w:sz="0" w:space="0" w:color="auto"/>
                        <w:right w:val="none" w:sz="0" w:space="0" w:color="auto"/>
                      </w:divBdr>
                      <w:divsChild>
                        <w:div w:id="71977335">
                          <w:marLeft w:val="0"/>
                          <w:marRight w:val="0"/>
                          <w:marTop w:val="0"/>
                          <w:marBottom w:val="0"/>
                          <w:divBdr>
                            <w:top w:val="none" w:sz="0" w:space="0" w:color="auto"/>
                            <w:left w:val="none" w:sz="0" w:space="0" w:color="auto"/>
                            <w:bottom w:val="none" w:sz="0" w:space="0" w:color="auto"/>
                            <w:right w:val="none" w:sz="0" w:space="0" w:color="auto"/>
                          </w:divBdr>
                          <w:divsChild>
                            <w:div w:id="8216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248910">
      <w:bodyDiv w:val="1"/>
      <w:marLeft w:val="0"/>
      <w:marRight w:val="0"/>
      <w:marTop w:val="0"/>
      <w:marBottom w:val="0"/>
      <w:divBdr>
        <w:top w:val="none" w:sz="0" w:space="0" w:color="auto"/>
        <w:left w:val="none" w:sz="0" w:space="0" w:color="auto"/>
        <w:bottom w:val="none" w:sz="0" w:space="0" w:color="auto"/>
        <w:right w:val="none" w:sz="0" w:space="0" w:color="auto"/>
      </w:divBdr>
      <w:divsChild>
        <w:div w:id="1783956337">
          <w:marLeft w:val="0"/>
          <w:marRight w:val="0"/>
          <w:marTop w:val="0"/>
          <w:marBottom w:val="0"/>
          <w:divBdr>
            <w:top w:val="none" w:sz="0" w:space="0" w:color="auto"/>
            <w:left w:val="none" w:sz="0" w:space="0" w:color="auto"/>
            <w:bottom w:val="none" w:sz="0" w:space="0" w:color="auto"/>
            <w:right w:val="none" w:sz="0" w:space="0" w:color="auto"/>
          </w:divBdr>
          <w:divsChild>
            <w:div w:id="595748881">
              <w:marLeft w:val="0"/>
              <w:marRight w:val="0"/>
              <w:marTop w:val="100"/>
              <w:marBottom w:val="0"/>
              <w:divBdr>
                <w:top w:val="none" w:sz="0" w:space="0" w:color="auto"/>
                <w:left w:val="none" w:sz="0" w:space="0" w:color="auto"/>
                <w:bottom w:val="none" w:sz="0" w:space="0" w:color="auto"/>
                <w:right w:val="none" w:sz="0" w:space="0" w:color="auto"/>
              </w:divBdr>
              <w:divsChild>
                <w:div w:id="1889341999">
                  <w:marLeft w:val="0"/>
                  <w:marRight w:val="0"/>
                  <w:marTop w:val="0"/>
                  <w:marBottom w:val="0"/>
                  <w:divBdr>
                    <w:top w:val="none" w:sz="0" w:space="0" w:color="auto"/>
                    <w:left w:val="none" w:sz="0" w:space="0" w:color="auto"/>
                    <w:bottom w:val="single" w:sz="4" w:space="0" w:color="C8C8C8"/>
                    <w:right w:val="none" w:sz="0" w:space="0" w:color="auto"/>
                  </w:divBdr>
                </w:div>
              </w:divsChild>
            </w:div>
          </w:divsChild>
        </w:div>
      </w:divsChild>
    </w:div>
    <w:div w:id="350838111">
      <w:bodyDiv w:val="1"/>
      <w:marLeft w:val="0"/>
      <w:marRight w:val="0"/>
      <w:marTop w:val="0"/>
      <w:marBottom w:val="0"/>
      <w:divBdr>
        <w:top w:val="none" w:sz="0" w:space="0" w:color="auto"/>
        <w:left w:val="none" w:sz="0" w:space="0" w:color="auto"/>
        <w:bottom w:val="none" w:sz="0" w:space="0" w:color="auto"/>
        <w:right w:val="none" w:sz="0" w:space="0" w:color="auto"/>
      </w:divBdr>
      <w:divsChild>
        <w:div w:id="1808667296">
          <w:marLeft w:val="0"/>
          <w:marRight w:val="0"/>
          <w:marTop w:val="0"/>
          <w:marBottom w:val="0"/>
          <w:divBdr>
            <w:top w:val="none" w:sz="0" w:space="0" w:color="auto"/>
            <w:left w:val="none" w:sz="0" w:space="0" w:color="auto"/>
            <w:bottom w:val="none" w:sz="0" w:space="0" w:color="auto"/>
            <w:right w:val="none" w:sz="0" w:space="0" w:color="auto"/>
          </w:divBdr>
          <w:divsChild>
            <w:div w:id="1884250615">
              <w:marLeft w:val="0"/>
              <w:marRight w:val="0"/>
              <w:marTop w:val="0"/>
              <w:marBottom w:val="0"/>
              <w:divBdr>
                <w:top w:val="none" w:sz="0" w:space="0" w:color="auto"/>
                <w:left w:val="none" w:sz="0" w:space="0" w:color="auto"/>
                <w:bottom w:val="none" w:sz="0" w:space="0" w:color="auto"/>
                <w:right w:val="none" w:sz="0" w:space="0" w:color="auto"/>
              </w:divBdr>
              <w:divsChild>
                <w:div w:id="156195696">
                  <w:marLeft w:val="0"/>
                  <w:marRight w:val="0"/>
                  <w:marTop w:val="0"/>
                  <w:marBottom w:val="0"/>
                  <w:divBdr>
                    <w:top w:val="none" w:sz="0" w:space="0" w:color="auto"/>
                    <w:left w:val="none" w:sz="0" w:space="0" w:color="auto"/>
                    <w:bottom w:val="none" w:sz="0" w:space="0" w:color="auto"/>
                    <w:right w:val="none" w:sz="0" w:space="0" w:color="auto"/>
                  </w:divBdr>
                  <w:divsChild>
                    <w:div w:id="156728119">
                      <w:marLeft w:val="0"/>
                      <w:marRight w:val="0"/>
                      <w:marTop w:val="0"/>
                      <w:marBottom w:val="0"/>
                      <w:divBdr>
                        <w:top w:val="none" w:sz="0" w:space="0" w:color="auto"/>
                        <w:left w:val="none" w:sz="0" w:space="0" w:color="auto"/>
                        <w:bottom w:val="none" w:sz="0" w:space="0" w:color="auto"/>
                        <w:right w:val="none" w:sz="0" w:space="0" w:color="auto"/>
                      </w:divBdr>
                      <w:divsChild>
                        <w:div w:id="3991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401684">
      <w:bodyDiv w:val="1"/>
      <w:marLeft w:val="0"/>
      <w:marRight w:val="0"/>
      <w:marTop w:val="0"/>
      <w:marBottom w:val="0"/>
      <w:divBdr>
        <w:top w:val="none" w:sz="0" w:space="0" w:color="auto"/>
        <w:left w:val="none" w:sz="0" w:space="0" w:color="auto"/>
        <w:bottom w:val="none" w:sz="0" w:space="0" w:color="auto"/>
        <w:right w:val="none" w:sz="0" w:space="0" w:color="auto"/>
      </w:divBdr>
      <w:divsChild>
        <w:div w:id="1545673223">
          <w:marLeft w:val="0"/>
          <w:marRight w:val="0"/>
          <w:marTop w:val="0"/>
          <w:marBottom w:val="0"/>
          <w:divBdr>
            <w:top w:val="none" w:sz="0" w:space="0" w:color="auto"/>
            <w:left w:val="none" w:sz="0" w:space="0" w:color="auto"/>
            <w:bottom w:val="none" w:sz="0" w:space="0" w:color="auto"/>
            <w:right w:val="none" w:sz="0" w:space="0" w:color="auto"/>
          </w:divBdr>
          <w:divsChild>
            <w:div w:id="1290432676">
              <w:marLeft w:val="0"/>
              <w:marRight w:val="0"/>
              <w:marTop w:val="0"/>
              <w:marBottom w:val="0"/>
              <w:divBdr>
                <w:top w:val="none" w:sz="0" w:space="0" w:color="auto"/>
                <w:left w:val="none" w:sz="0" w:space="0" w:color="auto"/>
                <w:bottom w:val="none" w:sz="0" w:space="0" w:color="auto"/>
                <w:right w:val="none" w:sz="0" w:space="0" w:color="auto"/>
              </w:divBdr>
              <w:divsChild>
                <w:div w:id="191499203">
                  <w:marLeft w:val="0"/>
                  <w:marRight w:val="0"/>
                  <w:marTop w:val="0"/>
                  <w:marBottom w:val="0"/>
                  <w:divBdr>
                    <w:top w:val="none" w:sz="0" w:space="0" w:color="auto"/>
                    <w:left w:val="none" w:sz="0" w:space="0" w:color="auto"/>
                    <w:bottom w:val="none" w:sz="0" w:space="0" w:color="auto"/>
                    <w:right w:val="none" w:sz="0" w:space="0" w:color="auto"/>
                  </w:divBdr>
                  <w:divsChild>
                    <w:div w:id="1252929626">
                      <w:marLeft w:val="100"/>
                      <w:marRight w:val="0"/>
                      <w:marTop w:val="0"/>
                      <w:marBottom w:val="0"/>
                      <w:divBdr>
                        <w:top w:val="none" w:sz="0" w:space="0" w:color="auto"/>
                        <w:left w:val="none" w:sz="0" w:space="0" w:color="auto"/>
                        <w:bottom w:val="none" w:sz="0" w:space="0" w:color="auto"/>
                        <w:right w:val="none" w:sz="0" w:space="0" w:color="auto"/>
                      </w:divBdr>
                      <w:divsChild>
                        <w:div w:id="385951912">
                          <w:marLeft w:val="0"/>
                          <w:marRight w:val="0"/>
                          <w:marTop w:val="0"/>
                          <w:marBottom w:val="100"/>
                          <w:divBdr>
                            <w:top w:val="none" w:sz="0" w:space="0" w:color="auto"/>
                            <w:left w:val="none" w:sz="0" w:space="0" w:color="auto"/>
                            <w:bottom w:val="none" w:sz="0" w:space="0" w:color="auto"/>
                            <w:right w:val="none" w:sz="0" w:space="0" w:color="auto"/>
                          </w:divBdr>
                          <w:divsChild>
                            <w:div w:id="689527892">
                              <w:marLeft w:val="0"/>
                              <w:marRight w:val="0"/>
                              <w:marTop w:val="0"/>
                              <w:marBottom w:val="0"/>
                              <w:divBdr>
                                <w:top w:val="none" w:sz="0" w:space="0" w:color="auto"/>
                                <w:left w:val="none" w:sz="0" w:space="0" w:color="auto"/>
                                <w:bottom w:val="none" w:sz="0" w:space="0" w:color="auto"/>
                                <w:right w:val="none" w:sz="0" w:space="0" w:color="auto"/>
                              </w:divBdr>
                              <w:divsChild>
                                <w:div w:id="1347095460">
                                  <w:marLeft w:val="0"/>
                                  <w:marRight w:val="0"/>
                                  <w:marTop w:val="0"/>
                                  <w:marBottom w:val="0"/>
                                  <w:divBdr>
                                    <w:top w:val="none" w:sz="0" w:space="0" w:color="auto"/>
                                    <w:left w:val="none" w:sz="0" w:space="0" w:color="auto"/>
                                    <w:bottom w:val="none" w:sz="0" w:space="0" w:color="auto"/>
                                    <w:right w:val="none" w:sz="0" w:space="0" w:color="auto"/>
                                  </w:divBdr>
                                  <w:divsChild>
                                    <w:div w:id="9661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002389">
      <w:bodyDiv w:val="1"/>
      <w:marLeft w:val="0"/>
      <w:marRight w:val="0"/>
      <w:marTop w:val="0"/>
      <w:marBottom w:val="0"/>
      <w:divBdr>
        <w:top w:val="none" w:sz="0" w:space="0" w:color="auto"/>
        <w:left w:val="none" w:sz="0" w:space="0" w:color="auto"/>
        <w:bottom w:val="none" w:sz="0" w:space="0" w:color="auto"/>
        <w:right w:val="none" w:sz="0" w:space="0" w:color="auto"/>
      </w:divBdr>
      <w:divsChild>
        <w:div w:id="368187718">
          <w:marLeft w:val="0"/>
          <w:marRight w:val="0"/>
          <w:marTop w:val="0"/>
          <w:marBottom w:val="0"/>
          <w:divBdr>
            <w:top w:val="none" w:sz="0" w:space="0" w:color="auto"/>
            <w:left w:val="none" w:sz="0" w:space="0" w:color="auto"/>
            <w:bottom w:val="none" w:sz="0" w:space="0" w:color="auto"/>
            <w:right w:val="none" w:sz="0" w:space="0" w:color="auto"/>
          </w:divBdr>
          <w:divsChild>
            <w:div w:id="6419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3745">
      <w:bodyDiv w:val="1"/>
      <w:marLeft w:val="0"/>
      <w:marRight w:val="0"/>
      <w:marTop w:val="0"/>
      <w:marBottom w:val="0"/>
      <w:divBdr>
        <w:top w:val="none" w:sz="0" w:space="0" w:color="auto"/>
        <w:left w:val="none" w:sz="0" w:space="0" w:color="auto"/>
        <w:bottom w:val="none" w:sz="0" w:space="0" w:color="auto"/>
        <w:right w:val="none" w:sz="0" w:space="0" w:color="auto"/>
      </w:divBdr>
      <w:divsChild>
        <w:div w:id="642583754">
          <w:marLeft w:val="0"/>
          <w:marRight w:val="0"/>
          <w:marTop w:val="0"/>
          <w:marBottom w:val="0"/>
          <w:divBdr>
            <w:top w:val="none" w:sz="0" w:space="0" w:color="auto"/>
            <w:left w:val="none" w:sz="0" w:space="0" w:color="auto"/>
            <w:bottom w:val="none" w:sz="0" w:space="0" w:color="auto"/>
            <w:right w:val="none" w:sz="0" w:space="0" w:color="auto"/>
          </w:divBdr>
          <w:divsChild>
            <w:div w:id="2057772438">
              <w:marLeft w:val="0"/>
              <w:marRight w:val="0"/>
              <w:marTop w:val="0"/>
              <w:marBottom w:val="0"/>
              <w:divBdr>
                <w:top w:val="none" w:sz="0" w:space="0" w:color="auto"/>
                <w:left w:val="none" w:sz="0" w:space="0" w:color="auto"/>
                <w:bottom w:val="none" w:sz="0" w:space="0" w:color="auto"/>
                <w:right w:val="none" w:sz="0" w:space="0" w:color="auto"/>
              </w:divBdr>
              <w:divsChild>
                <w:div w:id="1822694201">
                  <w:marLeft w:val="0"/>
                  <w:marRight w:val="0"/>
                  <w:marTop w:val="0"/>
                  <w:marBottom w:val="0"/>
                  <w:divBdr>
                    <w:top w:val="single" w:sz="4" w:space="0" w:color="E5E5E5"/>
                    <w:left w:val="single" w:sz="2" w:space="0" w:color="E5E5E5"/>
                    <w:bottom w:val="single" w:sz="4" w:space="0" w:color="E5E5E5"/>
                    <w:right w:val="single" w:sz="2" w:space="0" w:color="E5E5E5"/>
                  </w:divBdr>
                  <w:divsChild>
                    <w:div w:id="1996762778">
                      <w:marLeft w:val="0"/>
                      <w:marRight w:val="0"/>
                      <w:marTop w:val="0"/>
                      <w:marBottom w:val="0"/>
                      <w:divBdr>
                        <w:top w:val="none" w:sz="0" w:space="0" w:color="auto"/>
                        <w:left w:val="none" w:sz="0" w:space="0" w:color="auto"/>
                        <w:bottom w:val="none" w:sz="0" w:space="0" w:color="auto"/>
                        <w:right w:val="none" w:sz="0" w:space="0" w:color="auto"/>
                      </w:divBdr>
                      <w:divsChild>
                        <w:div w:id="1358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021374">
      <w:bodyDiv w:val="1"/>
      <w:marLeft w:val="0"/>
      <w:marRight w:val="0"/>
      <w:marTop w:val="0"/>
      <w:marBottom w:val="0"/>
      <w:divBdr>
        <w:top w:val="none" w:sz="0" w:space="0" w:color="auto"/>
        <w:left w:val="none" w:sz="0" w:space="0" w:color="auto"/>
        <w:bottom w:val="none" w:sz="0" w:space="0" w:color="auto"/>
        <w:right w:val="none" w:sz="0" w:space="0" w:color="auto"/>
      </w:divBdr>
      <w:divsChild>
        <w:div w:id="1132406464">
          <w:marLeft w:val="0"/>
          <w:marRight w:val="0"/>
          <w:marTop w:val="0"/>
          <w:marBottom w:val="0"/>
          <w:divBdr>
            <w:top w:val="none" w:sz="0" w:space="0" w:color="auto"/>
            <w:left w:val="none" w:sz="0" w:space="0" w:color="auto"/>
            <w:bottom w:val="none" w:sz="0" w:space="0" w:color="auto"/>
            <w:right w:val="none" w:sz="0" w:space="0" w:color="auto"/>
          </w:divBdr>
          <w:divsChild>
            <w:div w:id="1656490346">
              <w:marLeft w:val="0"/>
              <w:marRight w:val="0"/>
              <w:marTop w:val="0"/>
              <w:marBottom w:val="0"/>
              <w:divBdr>
                <w:top w:val="none" w:sz="0" w:space="0" w:color="auto"/>
                <w:left w:val="none" w:sz="0" w:space="0" w:color="auto"/>
                <w:bottom w:val="none" w:sz="0" w:space="0" w:color="auto"/>
                <w:right w:val="none" w:sz="0" w:space="0" w:color="auto"/>
              </w:divBdr>
              <w:divsChild>
                <w:div w:id="2069378007">
                  <w:marLeft w:val="0"/>
                  <w:marRight w:val="0"/>
                  <w:marTop w:val="0"/>
                  <w:marBottom w:val="0"/>
                  <w:divBdr>
                    <w:top w:val="none" w:sz="0" w:space="0" w:color="auto"/>
                    <w:left w:val="none" w:sz="0" w:space="0" w:color="auto"/>
                    <w:bottom w:val="none" w:sz="0" w:space="0" w:color="auto"/>
                    <w:right w:val="none" w:sz="0" w:space="0" w:color="auto"/>
                  </w:divBdr>
                  <w:divsChild>
                    <w:div w:id="1157919602">
                      <w:marLeft w:val="0"/>
                      <w:marRight w:val="0"/>
                      <w:marTop w:val="0"/>
                      <w:marBottom w:val="0"/>
                      <w:divBdr>
                        <w:top w:val="none" w:sz="0" w:space="0" w:color="auto"/>
                        <w:left w:val="none" w:sz="0" w:space="0" w:color="auto"/>
                        <w:bottom w:val="none" w:sz="0" w:space="0" w:color="auto"/>
                        <w:right w:val="none" w:sz="0" w:space="0" w:color="auto"/>
                      </w:divBdr>
                      <w:divsChild>
                        <w:div w:id="1349215611">
                          <w:marLeft w:val="0"/>
                          <w:marRight w:val="0"/>
                          <w:marTop w:val="0"/>
                          <w:marBottom w:val="0"/>
                          <w:divBdr>
                            <w:top w:val="none" w:sz="0" w:space="0" w:color="auto"/>
                            <w:left w:val="none" w:sz="0" w:space="0" w:color="auto"/>
                            <w:bottom w:val="none" w:sz="0" w:space="0" w:color="auto"/>
                            <w:right w:val="none" w:sz="0" w:space="0" w:color="auto"/>
                          </w:divBdr>
                          <w:divsChild>
                            <w:div w:id="81146482">
                              <w:marLeft w:val="0"/>
                              <w:marRight w:val="0"/>
                              <w:marTop w:val="0"/>
                              <w:marBottom w:val="220"/>
                              <w:divBdr>
                                <w:top w:val="none" w:sz="0" w:space="0" w:color="auto"/>
                                <w:left w:val="none" w:sz="0" w:space="0" w:color="auto"/>
                                <w:bottom w:val="none" w:sz="0" w:space="0" w:color="auto"/>
                                <w:right w:val="none" w:sz="0" w:space="0" w:color="auto"/>
                              </w:divBdr>
                              <w:divsChild>
                                <w:div w:id="1643928299">
                                  <w:marLeft w:val="0"/>
                                  <w:marRight w:val="0"/>
                                  <w:marTop w:val="0"/>
                                  <w:marBottom w:val="0"/>
                                  <w:divBdr>
                                    <w:top w:val="none" w:sz="0" w:space="0" w:color="auto"/>
                                    <w:left w:val="none" w:sz="0" w:space="0" w:color="auto"/>
                                    <w:bottom w:val="none" w:sz="0" w:space="0" w:color="auto"/>
                                    <w:right w:val="none" w:sz="0" w:space="0" w:color="auto"/>
                                  </w:divBdr>
                                  <w:divsChild>
                                    <w:div w:id="5565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660605">
      <w:bodyDiv w:val="1"/>
      <w:marLeft w:val="0"/>
      <w:marRight w:val="0"/>
      <w:marTop w:val="0"/>
      <w:marBottom w:val="0"/>
      <w:divBdr>
        <w:top w:val="none" w:sz="0" w:space="0" w:color="auto"/>
        <w:left w:val="none" w:sz="0" w:space="0" w:color="auto"/>
        <w:bottom w:val="none" w:sz="0" w:space="0" w:color="auto"/>
        <w:right w:val="none" w:sz="0" w:space="0" w:color="auto"/>
      </w:divBdr>
      <w:divsChild>
        <w:div w:id="2143110577">
          <w:marLeft w:val="0"/>
          <w:marRight w:val="0"/>
          <w:marTop w:val="0"/>
          <w:marBottom w:val="0"/>
          <w:divBdr>
            <w:top w:val="none" w:sz="0" w:space="0" w:color="auto"/>
            <w:left w:val="none" w:sz="0" w:space="0" w:color="auto"/>
            <w:bottom w:val="none" w:sz="0" w:space="0" w:color="auto"/>
            <w:right w:val="none" w:sz="0" w:space="0" w:color="auto"/>
          </w:divBdr>
          <w:divsChild>
            <w:div w:id="642349021">
              <w:marLeft w:val="0"/>
              <w:marRight w:val="0"/>
              <w:marTop w:val="100"/>
              <w:marBottom w:val="0"/>
              <w:divBdr>
                <w:top w:val="none" w:sz="0" w:space="0" w:color="auto"/>
                <w:left w:val="none" w:sz="0" w:space="0" w:color="auto"/>
                <w:bottom w:val="none" w:sz="0" w:space="0" w:color="auto"/>
                <w:right w:val="none" w:sz="0" w:space="0" w:color="auto"/>
              </w:divBdr>
              <w:divsChild>
                <w:div w:id="631791016">
                  <w:marLeft w:val="0"/>
                  <w:marRight w:val="0"/>
                  <w:marTop w:val="0"/>
                  <w:marBottom w:val="0"/>
                  <w:divBdr>
                    <w:top w:val="none" w:sz="0" w:space="0" w:color="auto"/>
                    <w:left w:val="none" w:sz="0" w:space="0" w:color="auto"/>
                    <w:bottom w:val="single" w:sz="4" w:space="0" w:color="C8C8C8"/>
                    <w:right w:val="none" w:sz="0" w:space="0" w:color="auto"/>
                  </w:divBdr>
                </w:div>
              </w:divsChild>
            </w:div>
          </w:divsChild>
        </w:div>
      </w:divsChild>
    </w:div>
    <w:div w:id="578832626">
      <w:bodyDiv w:val="1"/>
      <w:marLeft w:val="0"/>
      <w:marRight w:val="0"/>
      <w:marTop w:val="0"/>
      <w:marBottom w:val="0"/>
      <w:divBdr>
        <w:top w:val="none" w:sz="0" w:space="0" w:color="auto"/>
        <w:left w:val="none" w:sz="0" w:space="0" w:color="auto"/>
        <w:bottom w:val="none" w:sz="0" w:space="0" w:color="auto"/>
        <w:right w:val="none" w:sz="0" w:space="0" w:color="auto"/>
      </w:divBdr>
      <w:divsChild>
        <w:div w:id="588005365">
          <w:marLeft w:val="0"/>
          <w:marRight w:val="0"/>
          <w:marTop w:val="0"/>
          <w:marBottom w:val="0"/>
          <w:divBdr>
            <w:top w:val="none" w:sz="0" w:space="0" w:color="auto"/>
            <w:left w:val="none" w:sz="0" w:space="0" w:color="auto"/>
            <w:bottom w:val="none" w:sz="0" w:space="0" w:color="auto"/>
            <w:right w:val="none" w:sz="0" w:space="0" w:color="auto"/>
          </w:divBdr>
          <w:divsChild>
            <w:div w:id="401761882">
              <w:marLeft w:val="0"/>
              <w:marRight w:val="0"/>
              <w:marTop w:val="0"/>
              <w:marBottom w:val="0"/>
              <w:divBdr>
                <w:top w:val="none" w:sz="0" w:space="0" w:color="auto"/>
                <w:left w:val="none" w:sz="0" w:space="0" w:color="auto"/>
                <w:bottom w:val="none" w:sz="0" w:space="0" w:color="auto"/>
                <w:right w:val="none" w:sz="0" w:space="0" w:color="auto"/>
              </w:divBdr>
              <w:divsChild>
                <w:div w:id="1842307463">
                  <w:marLeft w:val="0"/>
                  <w:marRight w:val="0"/>
                  <w:marTop w:val="0"/>
                  <w:marBottom w:val="0"/>
                  <w:divBdr>
                    <w:top w:val="none" w:sz="0" w:space="0" w:color="auto"/>
                    <w:left w:val="none" w:sz="0" w:space="0" w:color="auto"/>
                    <w:bottom w:val="none" w:sz="0" w:space="0" w:color="auto"/>
                    <w:right w:val="none" w:sz="0" w:space="0" w:color="auto"/>
                  </w:divBdr>
                  <w:divsChild>
                    <w:div w:id="1619216041">
                      <w:marLeft w:val="0"/>
                      <w:marRight w:val="0"/>
                      <w:marTop w:val="0"/>
                      <w:marBottom w:val="0"/>
                      <w:divBdr>
                        <w:top w:val="none" w:sz="0" w:space="0" w:color="auto"/>
                        <w:left w:val="none" w:sz="0" w:space="0" w:color="auto"/>
                        <w:bottom w:val="none" w:sz="0" w:space="0" w:color="auto"/>
                        <w:right w:val="none" w:sz="0" w:space="0" w:color="auto"/>
                      </w:divBdr>
                      <w:divsChild>
                        <w:div w:id="93403703">
                          <w:marLeft w:val="0"/>
                          <w:marRight w:val="0"/>
                          <w:marTop w:val="0"/>
                          <w:marBottom w:val="0"/>
                          <w:divBdr>
                            <w:top w:val="none" w:sz="0" w:space="0" w:color="auto"/>
                            <w:left w:val="single" w:sz="4" w:space="0" w:color="FBC6A6"/>
                            <w:bottom w:val="single" w:sz="4" w:space="0" w:color="FBC6A6"/>
                            <w:right w:val="single" w:sz="4" w:space="0" w:color="FBC6A6"/>
                          </w:divBdr>
                          <w:divsChild>
                            <w:div w:id="2067758479">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789324">
      <w:bodyDiv w:val="1"/>
      <w:marLeft w:val="0"/>
      <w:marRight w:val="0"/>
      <w:marTop w:val="0"/>
      <w:marBottom w:val="0"/>
      <w:divBdr>
        <w:top w:val="none" w:sz="0" w:space="0" w:color="auto"/>
        <w:left w:val="none" w:sz="0" w:space="0" w:color="auto"/>
        <w:bottom w:val="none" w:sz="0" w:space="0" w:color="auto"/>
        <w:right w:val="none" w:sz="0" w:space="0" w:color="auto"/>
      </w:divBdr>
      <w:divsChild>
        <w:div w:id="855772242">
          <w:marLeft w:val="0"/>
          <w:marRight w:val="0"/>
          <w:marTop w:val="0"/>
          <w:marBottom w:val="0"/>
          <w:divBdr>
            <w:top w:val="none" w:sz="0" w:space="0" w:color="auto"/>
            <w:left w:val="none" w:sz="0" w:space="0" w:color="auto"/>
            <w:bottom w:val="none" w:sz="0" w:space="0" w:color="auto"/>
            <w:right w:val="none" w:sz="0" w:space="0" w:color="auto"/>
          </w:divBdr>
          <w:divsChild>
            <w:div w:id="1338925124">
              <w:marLeft w:val="0"/>
              <w:marRight w:val="0"/>
              <w:marTop w:val="0"/>
              <w:marBottom w:val="0"/>
              <w:divBdr>
                <w:top w:val="none" w:sz="0" w:space="0" w:color="auto"/>
                <w:left w:val="none" w:sz="0" w:space="0" w:color="auto"/>
                <w:bottom w:val="none" w:sz="0" w:space="0" w:color="auto"/>
                <w:right w:val="none" w:sz="0" w:space="0" w:color="auto"/>
              </w:divBdr>
              <w:divsChild>
                <w:div w:id="1583446634">
                  <w:marLeft w:val="0"/>
                  <w:marRight w:val="0"/>
                  <w:marTop w:val="0"/>
                  <w:marBottom w:val="0"/>
                  <w:divBdr>
                    <w:top w:val="none" w:sz="0" w:space="0" w:color="auto"/>
                    <w:left w:val="none" w:sz="0" w:space="0" w:color="auto"/>
                    <w:bottom w:val="none" w:sz="0" w:space="0" w:color="auto"/>
                    <w:right w:val="none" w:sz="0" w:space="0" w:color="auto"/>
                  </w:divBdr>
                  <w:divsChild>
                    <w:div w:id="542449669">
                      <w:marLeft w:val="0"/>
                      <w:marRight w:val="0"/>
                      <w:marTop w:val="270"/>
                      <w:marBottom w:val="0"/>
                      <w:divBdr>
                        <w:top w:val="none" w:sz="0" w:space="0" w:color="auto"/>
                        <w:left w:val="none" w:sz="0" w:space="0" w:color="auto"/>
                        <w:bottom w:val="none" w:sz="0" w:space="0" w:color="auto"/>
                        <w:right w:val="single" w:sz="4" w:space="11" w:color="DCDCDC"/>
                      </w:divBdr>
                      <w:divsChild>
                        <w:div w:id="4120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367804">
      <w:bodyDiv w:val="1"/>
      <w:marLeft w:val="0"/>
      <w:marRight w:val="0"/>
      <w:marTop w:val="0"/>
      <w:marBottom w:val="0"/>
      <w:divBdr>
        <w:top w:val="none" w:sz="0" w:space="0" w:color="auto"/>
        <w:left w:val="none" w:sz="0" w:space="0" w:color="auto"/>
        <w:bottom w:val="none" w:sz="0" w:space="0" w:color="auto"/>
        <w:right w:val="none" w:sz="0" w:space="0" w:color="auto"/>
      </w:divBdr>
      <w:divsChild>
        <w:div w:id="1379360001">
          <w:marLeft w:val="0"/>
          <w:marRight w:val="0"/>
          <w:marTop w:val="0"/>
          <w:marBottom w:val="0"/>
          <w:divBdr>
            <w:top w:val="none" w:sz="0" w:space="0" w:color="auto"/>
            <w:left w:val="none" w:sz="0" w:space="0" w:color="auto"/>
            <w:bottom w:val="none" w:sz="0" w:space="0" w:color="auto"/>
            <w:right w:val="none" w:sz="0" w:space="0" w:color="auto"/>
          </w:divBdr>
          <w:divsChild>
            <w:div w:id="1667857839">
              <w:marLeft w:val="0"/>
              <w:marRight w:val="0"/>
              <w:marTop w:val="200"/>
              <w:marBottom w:val="0"/>
              <w:divBdr>
                <w:top w:val="none" w:sz="0" w:space="0" w:color="auto"/>
                <w:left w:val="none" w:sz="0" w:space="0" w:color="auto"/>
                <w:bottom w:val="none" w:sz="0" w:space="0" w:color="auto"/>
                <w:right w:val="none" w:sz="0" w:space="0" w:color="auto"/>
              </w:divBdr>
              <w:divsChild>
                <w:div w:id="430659629">
                  <w:marLeft w:val="0"/>
                  <w:marRight w:val="0"/>
                  <w:marTop w:val="0"/>
                  <w:marBottom w:val="0"/>
                  <w:divBdr>
                    <w:top w:val="single" w:sz="4" w:space="0" w:color="E5E5E5"/>
                    <w:left w:val="single" w:sz="4" w:space="0" w:color="E5E5E5"/>
                    <w:bottom w:val="single" w:sz="4" w:space="0" w:color="E5E5E5"/>
                    <w:right w:val="single" w:sz="4" w:space="0" w:color="E5E5E5"/>
                  </w:divBdr>
                  <w:divsChild>
                    <w:div w:id="1507935578">
                      <w:marLeft w:val="0"/>
                      <w:marRight w:val="0"/>
                      <w:marTop w:val="0"/>
                      <w:marBottom w:val="0"/>
                      <w:divBdr>
                        <w:top w:val="none" w:sz="0" w:space="0" w:color="auto"/>
                        <w:left w:val="none" w:sz="0" w:space="0" w:color="auto"/>
                        <w:bottom w:val="none" w:sz="0" w:space="0" w:color="auto"/>
                        <w:right w:val="none" w:sz="0" w:space="0" w:color="auto"/>
                      </w:divBdr>
                      <w:divsChild>
                        <w:div w:id="602105175">
                          <w:marLeft w:val="0"/>
                          <w:marRight w:val="0"/>
                          <w:marTop w:val="0"/>
                          <w:marBottom w:val="0"/>
                          <w:divBdr>
                            <w:top w:val="none" w:sz="0" w:space="0" w:color="auto"/>
                            <w:left w:val="none" w:sz="0" w:space="0" w:color="auto"/>
                            <w:bottom w:val="none" w:sz="0" w:space="0" w:color="auto"/>
                            <w:right w:val="none" w:sz="0" w:space="0" w:color="auto"/>
                          </w:divBdr>
                          <w:divsChild>
                            <w:div w:id="442463698">
                              <w:marLeft w:val="0"/>
                              <w:marRight w:val="0"/>
                              <w:marTop w:val="0"/>
                              <w:marBottom w:val="0"/>
                              <w:divBdr>
                                <w:top w:val="none" w:sz="0" w:space="0" w:color="auto"/>
                                <w:left w:val="none" w:sz="0" w:space="0" w:color="auto"/>
                                <w:bottom w:val="none" w:sz="0" w:space="0" w:color="auto"/>
                                <w:right w:val="none" w:sz="0" w:space="0" w:color="auto"/>
                              </w:divBdr>
                              <w:divsChild>
                                <w:div w:id="491263558">
                                  <w:marLeft w:val="0"/>
                                  <w:marRight w:val="0"/>
                                  <w:marTop w:val="0"/>
                                  <w:marBottom w:val="0"/>
                                  <w:divBdr>
                                    <w:top w:val="none" w:sz="0" w:space="0" w:color="auto"/>
                                    <w:left w:val="none" w:sz="0" w:space="0" w:color="auto"/>
                                    <w:bottom w:val="none" w:sz="0" w:space="0" w:color="auto"/>
                                    <w:right w:val="none" w:sz="0" w:space="0" w:color="auto"/>
                                  </w:divBdr>
                                </w:div>
                              </w:divsChild>
                            </w:div>
                            <w:div w:id="565730082">
                              <w:marLeft w:val="0"/>
                              <w:marRight w:val="0"/>
                              <w:marTop w:val="0"/>
                              <w:marBottom w:val="0"/>
                              <w:divBdr>
                                <w:top w:val="none" w:sz="0" w:space="0" w:color="auto"/>
                                <w:left w:val="none" w:sz="0" w:space="0" w:color="auto"/>
                                <w:bottom w:val="none" w:sz="0" w:space="0" w:color="auto"/>
                                <w:right w:val="single" w:sz="4" w:space="0" w:color="CCD2D8"/>
                              </w:divBdr>
                              <w:divsChild>
                                <w:div w:id="10144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315059">
      <w:bodyDiv w:val="1"/>
      <w:marLeft w:val="0"/>
      <w:marRight w:val="0"/>
      <w:marTop w:val="0"/>
      <w:marBottom w:val="0"/>
      <w:divBdr>
        <w:top w:val="none" w:sz="0" w:space="0" w:color="auto"/>
        <w:left w:val="none" w:sz="0" w:space="0" w:color="auto"/>
        <w:bottom w:val="none" w:sz="0" w:space="0" w:color="auto"/>
        <w:right w:val="none" w:sz="0" w:space="0" w:color="auto"/>
      </w:divBdr>
      <w:divsChild>
        <w:div w:id="354619911">
          <w:marLeft w:val="0"/>
          <w:marRight w:val="0"/>
          <w:marTop w:val="0"/>
          <w:marBottom w:val="0"/>
          <w:divBdr>
            <w:top w:val="none" w:sz="0" w:space="0" w:color="auto"/>
            <w:left w:val="none" w:sz="0" w:space="0" w:color="auto"/>
            <w:bottom w:val="none" w:sz="0" w:space="0" w:color="auto"/>
            <w:right w:val="none" w:sz="0" w:space="0" w:color="auto"/>
          </w:divBdr>
        </w:div>
      </w:divsChild>
    </w:div>
    <w:div w:id="645743689">
      <w:bodyDiv w:val="1"/>
      <w:marLeft w:val="0"/>
      <w:marRight w:val="0"/>
      <w:marTop w:val="0"/>
      <w:marBottom w:val="0"/>
      <w:divBdr>
        <w:top w:val="none" w:sz="0" w:space="0" w:color="auto"/>
        <w:left w:val="none" w:sz="0" w:space="0" w:color="auto"/>
        <w:bottom w:val="none" w:sz="0" w:space="0" w:color="auto"/>
        <w:right w:val="none" w:sz="0" w:space="0" w:color="auto"/>
      </w:divBdr>
      <w:divsChild>
        <w:div w:id="872378060">
          <w:marLeft w:val="0"/>
          <w:marRight w:val="0"/>
          <w:marTop w:val="0"/>
          <w:marBottom w:val="0"/>
          <w:divBdr>
            <w:top w:val="none" w:sz="0" w:space="0" w:color="auto"/>
            <w:left w:val="none" w:sz="0" w:space="0" w:color="auto"/>
            <w:bottom w:val="none" w:sz="0" w:space="0" w:color="auto"/>
            <w:right w:val="none" w:sz="0" w:space="0" w:color="auto"/>
          </w:divBdr>
        </w:div>
      </w:divsChild>
    </w:div>
    <w:div w:id="742331757">
      <w:bodyDiv w:val="1"/>
      <w:marLeft w:val="0"/>
      <w:marRight w:val="0"/>
      <w:marTop w:val="0"/>
      <w:marBottom w:val="0"/>
      <w:divBdr>
        <w:top w:val="none" w:sz="0" w:space="0" w:color="auto"/>
        <w:left w:val="none" w:sz="0" w:space="0" w:color="auto"/>
        <w:bottom w:val="none" w:sz="0" w:space="0" w:color="auto"/>
        <w:right w:val="none" w:sz="0" w:space="0" w:color="auto"/>
      </w:divBdr>
      <w:divsChild>
        <w:div w:id="285889339">
          <w:marLeft w:val="0"/>
          <w:marRight w:val="0"/>
          <w:marTop w:val="0"/>
          <w:marBottom w:val="0"/>
          <w:divBdr>
            <w:top w:val="none" w:sz="0" w:space="0" w:color="auto"/>
            <w:left w:val="none" w:sz="0" w:space="0" w:color="auto"/>
            <w:bottom w:val="none" w:sz="0" w:space="0" w:color="auto"/>
            <w:right w:val="none" w:sz="0" w:space="0" w:color="auto"/>
          </w:divBdr>
          <w:divsChild>
            <w:div w:id="1317806052">
              <w:marLeft w:val="0"/>
              <w:marRight w:val="0"/>
              <w:marTop w:val="0"/>
              <w:marBottom w:val="0"/>
              <w:divBdr>
                <w:top w:val="none" w:sz="0" w:space="0" w:color="auto"/>
                <w:left w:val="none" w:sz="0" w:space="0" w:color="auto"/>
                <w:bottom w:val="none" w:sz="0" w:space="0" w:color="auto"/>
                <w:right w:val="none" w:sz="0" w:space="0" w:color="auto"/>
              </w:divBdr>
              <w:divsChild>
                <w:div w:id="949243995">
                  <w:marLeft w:val="0"/>
                  <w:marRight w:val="0"/>
                  <w:marTop w:val="0"/>
                  <w:marBottom w:val="0"/>
                  <w:divBdr>
                    <w:top w:val="none" w:sz="0" w:space="0" w:color="auto"/>
                    <w:left w:val="none" w:sz="0" w:space="0" w:color="auto"/>
                    <w:bottom w:val="none" w:sz="0" w:space="0" w:color="auto"/>
                    <w:right w:val="none" w:sz="0" w:space="0" w:color="auto"/>
                  </w:divBdr>
                  <w:divsChild>
                    <w:div w:id="1968461578">
                      <w:marLeft w:val="0"/>
                      <w:marRight w:val="0"/>
                      <w:marTop w:val="0"/>
                      <w:marBottom w:val="0"/>
                      <w:divBdr>
                        <w:top w:val="none" w:sz="0" w:space="0" w:color="auto"/>
                        <w:left w:val="none" w:sz="0" w:space="0" w:color="auto"/>
                        <w:bottom w:val="none" w:sz="0" w:space="0" w:color="auto"/>
                        <w:right w:val="none" w:sz="0" w:space="0" w:color="auto"/>
                      </w:divBdr>
                      <w:divsChild>
                        <w:div w:id="18415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941046">
      <w:bodyDiv w:val="1"/>
      <w:marLeft w:val="0"/>
      <w:marRight w:val="0"/>
      <w:marTop w:val="0"/>
      <w:marBottom w:val="0"/>
      <w:divBdr>
        <w:top w:val="none" w:sz="0" w:space="0" w:color="auto"/>
        <w:left w:val="none" w:sz="0" w:space="0" w:color="auto"/>
        <w:bottom w:val="none" w:sz="0" w:space="0" w:color="auto"/>
        <w:right w:val="none" w:sz="0" w:space="0" w:color="auto"/>
      </w:divBdr>
      <w:divsChild>
        <w:div w:id="1230772103">
          <w:marLeft w:val="0"/>
          <w:marRight w:val="0"/>
          <w:marTop w:val="0"/>
          <w:marBottom w:val="0"/>
          <w:divBdr>
            <w:top w:val="none" w:sz="0" w:space="0" w:color="auto"/>
            <w:left w:val="none" w:sz="0" w:space="0" w:color="auto"/>
            <w:bottom w:val="none" w:sz="0" w:space="0" w:color="auto"/>
            <w:right w:val="none" w:sz="0" w:space="0" w:color="auto"/>
          </w:divBdr>
          <w:divsChild>
            <w:div w:id="1784493952">
              <w:marLeft w:val="0"/>
              <w:marRight w:val="0"/>
              <w:marTop w:val="0"/>
              <w:marBottom w:val="0"/>
              <w:divBdr>
                <w:top w:val="none" w:sz="0" w:space="0" w:color="auto"/>
                <w:left w:val="none" w:sz="0" w:space="0" w:color="auto"/>
                <w:bottom w:val="none" w:sz="0" w:space="0" w:color="auto"/>
                <w:right w:val="none" w:sz="0" w:space="0" w:color="auto"/>
              </w:divBdr>
              <w:divsChild>
                <w:div w:id="69353603">
                  <w:marLeft w:val="0"/>
                  <w:marRight w:val="0"/>
                  <w:marTop w:val="0"/>
                  <w:marBottom w:val="0"/>
                  <w:divBdr>
                    <w:top w:val="none" w:sz="0" w:space="0" w:color="auto"/>
                    <w:left w:val="none" w:sz="0" w:space="0" w:color="auto"/>
                    <w:bottom w:val="none" w:sz="0" w:space="0" w:color="auto"/>
                    <w:right w:val="none" w:sz="0" w:space="0" w:color="auto"/>
                  </w:divBdr>
                  <w:divsChild>
                    <w:div w:id="709690705">
                      <w:marLeft w:val="0"/>
                      <w:marRight w:val="0"/>
                      <w:marTop w:val="0"/>
                      <w:marBottom w:val="0"/>
                      <w:divBdr>
                        <w:top w:val="none" w:sz="0" w:space="0" w:color="auto"/>
                        <w:left w:val="none" w:sz="0" w:space="0" w:color="auto"/>
                        <w:bottom w:val="none" w:sz="0" w:space="0" w:color="auto"/>
                        <w:right w:val="none" w:sz="0" w:space="0" w:color="auto"/>
                      </w:divBdr>
                      <w:divsChild>
                        <w:div w:id="1901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8904">
      <w:bodyDiv w:val="1"/>
      <w:marLeft w:val="0"/>
      <w:marRight w:val="0"/>
      <w:marTop w:val="0"/>
      <w:marBottom w:val="0"/>
      <w:divBdr>
        <w:top w:val="none" w:sz="0" w:space="0" w:color="auto"/>
        <w:left w:val="none" w:sz="0" w:space="0" w:color="auto"/>
        <w:bottom w:val="none" w:sz="0" w:space="0" w:color="auto"/>
        <w:right w:val="none" w:sz="0" w:space="0" w:color="auto"/>
      </w:divBdr>
      <w:divsChild>
        <w:div w:id="1571231730">
          <w:marLeft w:val="0"/>
          <w:marRight w:val="0"/>
          <w:marTop w:val="0"/>
          <w:marBottom w:val="0"/>
          <w:divBdr>
            <w:top w:val="none" w:sz="0" w:space="0" w:color="auto"/>
            <w:left w:val="none" w:sz="0" w:space="0" w:color="auto"/>
            <w:bottom w:val="none" w:sz="0" w:space="0" w:color="auto"/>
            <w:right w:val="none" w:sz="0" w:space="0" w:color="auto"/>
          </w:divBdr>
          <w:divsChild>
            <w:div w:id="1798913007">
              <w:marLeft w:val="0"/>
              <w:marRight w:val="0"/>
              <w:marTop w:val="0"/>
              <w:marBottom w:val="0"/>
              <w:divBdr>
                <w:top w:val="none" w:sz="0" w:space="0" w:color="auto"/>
                <w:left w:val="none" w:sz="0" w:space="0" w:color="auto"/>
                <w:bottom w:val="none" w:sz="0" w:space="0" w:color="auto"/>
                <w:right w:val="none" w:sz="0" w:space="0" w:color="auto"/>
              </w:divBdr>
              <w:divsChild>
                <w:div w:id="1862014046">
                  <w:marLeft w:val="0"/>
                  <w:marRight w:val="0"/>
                  <w:marTop w:val="0"/>
                  <w:marBottom w:val="0"/>
                  <w:divBdr>
                    <w:top w:val="none" w:sz="0" w:space="0" w:color="auto"/>
                    <w:left w:val="none" w:sz="0" w:space="0" w:color="auto"/>
                    <w:bottom w:val="none" w:sz="0" w:space="0" w:color="auto"/>
                    <w:right w:val="none" w:sz="0" w:space="0" w:color="auto"/>
                  </w:divBdr>
                  <w:divsChild>
                    <w:div w:id="936980756">
                      <w:marLeft w:val="0"/>
                      <w:marRight w:val="0"/>
                      <w:marTop w:val="0"/>
                      <w:marBottom w:val="0"/>
                      <w:divBdr>
                        <w:top w:val="none" w:sz="0" w:space="0" w:color="auto"/>
                        <w:left w:val="none" w:sz="0" w:space="0" w:color="auto"/>
                        <w:bottom w:val="none" w:sz="0" w:space="0" w:color="auto"/>
                        <w:right w:val="none" w:sz="0" w:space="0" w:color="auto"/>
                      </w:divBdr>
                      <w:divsChild>
                        <w:div w:id="2266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491964">
      <w:bodyDiv w:val="1"/>
      <w:marLeft w:val="0"/>
      <w:marRight w:val="0"/>
      <w:marTop w:val="0"/>
      <w:marBottom w:val="0"/>
      <w:divBdr>
        <w:top w:val="none" w:sz="0" w:space="0" w:color="auto"/>
        <w:left w:val="none" w:sz="0" w:space="0" w:color="auto"/>
        <w:bottom w:val="none" w:sz="0" w:space="0" w:color="auto"/>
        <w:right w:val="none" w:sz="0" w:space="0" w:color="auto"/>
      </w:divBdr>
      <w:divsChild>
        <w:div w:id="1830511804">
          <w:marLeft w:val="0"/>
          <w:marRight w:val="0"/>
          <w:marTop w:val="0"/>
          <w:marBottom w:val="0"/>
          <w:divBdr>
            <w:top w:val="none" w:sz="0" w:space="0" w:color="auto"/>
            <w:left w:val="none" w:sz="0" w:space="0" w:color="auto"/>
            <w:bottom w:val="none" w:sz="0" w:space="0" w:color="auto"/>
            <w:right w:val="none" w:sz="0" w:space="0" w:color="auto"/>
          </w:divBdr>
          <w:divsChild>
            <w:div w:id="2104564130">
              <w:marLeft w:val="0"/>
              <w:marRight w:val="0"/>
              <w:marTop w:val="0"/>
              <w:marBottom w:val="0"/>
              <w:divBdr>
                <w:top w:val="none" w:sz="0" w:space="0" w:color="auto"/>
                <w:left w:val="none" w:sz="0" w:space="0" w:color="auto"/>
                <w:bottom w:val="none" w:sz="0" w:space="0" w:color="auto"/>
                <w:right w:val="none" w:sz="0" w:space="0" w:color="auto"/>
              </w:divBdr>
              <w:divsChild>
                <w:div w:id="2070763896">
                  <w:marLeft w:val="0"/>
                  <w:marRight w:val="0"/>
                  <w:marTop w:val="0"/>
                  <w:marBottom w:val="0"/>
                  <w:divBdr>
                    <w:top w:val="none" w:sz="0" w:space="0" w:color="auto"/>
                    <w:left w:val="none" w:sz="0" w:space="0" w:color="auto"/>
                    <w:bottom w:val="none" w:sz="0" w:space="0" w:color="auto"/>
                    <w:right w:val="none" w:sz="0" w:space="0" w:color="auto"/>
                  </w:divBdr>
                  <w:divsChild>
                    <w:div w:id="1876112481">
                      <w:marLeft w:val="100"/>
                      <w:marRight w:val="0"/>
                      <w:marTop w:val="0"/>
                      <w:marBottom w:val="0"/>
                      <w:divBdr>
                        <w:top w:val="none" w:sz="0" w:space="0" w:color="auto"/>
                        <w:left w:val="none" w:sz="0" w:space="0" w:color="auto"/>
                        <w:bottom w:val="none" w:sz="0" w:space="0" w:color="auto"/>
                        <w:right w:val="none" w:sz="0" w:space="0" w:color="auto"/>
                      </w:divBdr>
                      <w:divsChild>
                        <w:div w:id="1285769844">
                          <w:marLeft w:val="0"/>
                          <w:marRight w:val="0"/>
                          <w:marTop w:val="0"/>
                          <w:marBottom w:val="100"/>
                          <w:divBdr>
                            <w:top w:val="none" w:sz="0" w:space="0" w:color="auto"/>
                            <w:left w:val="none" w:sz="0" w:space="0" w:color="auto"/>
                            <w:bottom w:val="none" w:sz="0" w:space="0" w:color="auto"/>
                            <w:right w:val="none" w:sz="0" w:space="0" w:color="auto"/>
                          </w:divBdr>
                          <w:divsChild>
                            <w:div w:id="356465897">
                              <w:marLeft w:val="0"/>
                              <w:marRight w:val="0"/>
                              <w:marTop w:val="0"/>
                              <w:marBottom w:val="0"/>
                              <w:divBdr>
                                <w:top w:val="none" w:sz="0" w:space="0" w:color="auto"/>
                                <w:left w:val="none" w:sz="0" w:space="0" w:color="auto"/>
                                <w:bottom w:val="none" w:sz="0" w:space="0" w:color="auto"/>
                                <w:right w:val="none" w:sz="0" w:space="0" w:color="auto"/>
                              </w:divBdr>
                              <w:divsChild>
                                <w:div w:id="1507935858">
                                  <w:marLeft w:val="0"/>
                                  <w:marRight w:val="0"/>
                                  <w:marTop w:val="0"/>
                                  <w:marBottom w:val="0"/>
                                  <w:divBdr>
                                    <w:top w:val="none" w:sz="0" w:space="0" w:color="auto"/>
                                    <w:left w:val="none" w:sz="0" w:space="0" w:color="auto"/>
                                    <w:bottom w:val="none" w:sz="0" w:space="0" w:color="auto"/>
                                    <w:right w:val="none" w:sz="0" w:space="0" w:color="auto"/>
                                  </w:divBdr>
                                  <w:divsChild>
                                    <w:div w:id="13682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92484">
      <w:bodyDiv w:val="1"/>
      <w:marLeft w:val="0"/>
      <w:marRight w:val="0"/>
      <w:marTop w:val="0"/>
      <w:marBottom w:val="0"/>
      <w:divBdr>
        <w:top w:val="none" w:sz="0" w:space="0" w:color="auto"/>
        <w:left w:val="none" w:sz="0" w:space="0" w:color="auto"/>
        <w:bottom w:val="none" w:sz="0" w:space="0" w:color="auto"/>
        <w:right w:val="none" w:sz="0" w:space="0" w:color="auto"/>
      </w:divBdr>
      <w:divsChild>
        <w:div w:id="2075741324">
          <w:marLeft w:val="0"/>
          <w:marRight w:val="0"/>
          <w:marTop w:val="0"/>
          <w:marBottom w:val="0"/>
          <w:divBdr>
            <w:top w:val="none" w:sz="0" w:space="0" w:color="auto"/>
            <w:left w:val="none" w:sz="0" w:space="0" w:color="auto"/>
            <w:bottom w:val="none" w:sz="0" w:space="0" w:color="auto"/>
            <w:right w:val="none" w:sz="0" w:space="0" w:color="auto"/>
          </w:divBdr>
          <w:divsChild>
            <w:div w:id="151067359">
              <w:marLeft w:val="0"/>
              <w:marRight w:val="0"/>
              <w:marTop w:val="0"/>
              <w:marBottom w:val="0"/>
              <w:divBdr>
                <w:top w:val="none" w:sz="0" w:space="0" w:color="auto"/>
                <w:left w:val="none" w:sz="0" w:space="0" w:color="auto"/>
                <w:bottom w:val="none" w:sz="0" w:space="0" w:color="auto"/>
                <w:right w:val="none" w:sz="0" w:space="0" w:color="auto"/>
              </w:divBdr>
              <w:divsChild>
                <w:div w:id="593786875">
                  <w:marLeft w:val="0"/>
                  <w:marRight w:val="0"/>
                  <w:marTop w:val="0"/>
                  <w:marBottom w:val="0"/>
                  <w:divBdr>
                    <w:top w:val="none" w:sz="0" w:space="0" w:color="auto"/>
                    <w:left w:val="none" w:sz="0" w:space="0" w:color="auto"/>
                    <w:bottom w:val="none" w:sz="0" w:space="0" w:color="auto"/>
                    <w:right w:val="none" w:sz="0" w:space="0" w:color="auto"/>
                  </w:divBdr>
                  <w:divsChild>
                    <w:div w:id="1378239360">
                      <w:marLeft w:val="0"/>
                      <w:marRight w:val="0"/>
                      <w:marTop w:val="0"/>
                      <w:marBottom w:val="0"/>
                      <w:divBdr>
                        <w:top w:val="none" w:sz="0" w:space="0" w:color="auto"/>
                        <w:left w:val="none" w:sz="0" w:space="0" w:color="auto"/>
                        <w:bottom w:val="none" w:sz="0" w:space="0" w:color="auto"/>
                        <w:right w:val="none" w:sz="0" w:space="0" w:color="auto"/>
                      </w:divBdr>
                      <w:divsChild>
                        <w:div w:id="1166674089">
                          <w:marLeft w:val="0"/>
                          <w:marRight w:val="0"/>
                          <w:marTop w:val="0"/>
                          <w:marBottom w:val="0"/>
                          <w:divBdr>
                            <w:top w:val="none" w:sz="0" w:space="0" w:color="auto"/>
                            <w:left w:val="none" w:sz="0" w:space="0" w:color="auto"/>
                            <w:bottom w:val="none" w:sz="0" w:space="0" w:color="auto"/>
                            <w:right w:val="none" w:sz="0" w:space="0" w:color="auto"/>
                          </w:divBdr>
                          <w:divsChild>
                            <w:div w:id="2020769042">
                              <w:marLeft w:val="0"/>
                              <w:marRight w:val="0"/>
                              <w:marTop w:val="0"/>
                              <w:marBottom w:val="220"/>
                              <w:divBdr>
                                <w:top w:val="none" w:sz="0" w:space="0" w:color="auto"/>
                                <w:left w:val="none" w:sz="0" w:space="0" w:color="auto"/>
                                <w:bottom w:val="none" w:sz="0" w:space="0" w:color="auto"/>
                                <w:right w:val="none" w:sz="0" w:space="0" w:color="auto"/>
                              </w:divBdr>
                              <w:divsChild>
                                <w:div w:id="397019563">
                                  <w:marLeft w:val="0"/>
                                  <w:marRight w:val="0"/>
                                  <w:marTop w:val="0"/>
                                  <w:marBottom w:val="0"/>
                                  <w:divBdr>
                                    <w:top w:val="none" w:sz="0" w:space="0" w:color="auto"/>
                                    <w:left w:val="none" w:sz="0" w:space="0" w:color="auto"/>
                                    <w:bottom w:val="none" w:sz="0" w:space="0" w:color="auto"/>
                                    <w:right w:val="none" w:sz="0" w:space="0" w:color="auto"/>
                                  </w:divBdr>
                                  <w:divsChild>
                                    <w:div w:id="3619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674136">
      <w:bodyDiv w:val="1"/>
      <w:marLeft w:val="0"/>
      <w:marRight w:val="0"/>
      <w:marTop w:val="0"/>
      <w:marBottom w:val="0"/>
      <w:divBdr>
        <w:top w:val="none" w:sz="0" w:space="0" w:color="auto"/>
        <w:left w:val="none" w:sz="0" w:space="0" w:color="auto"/>
        <w:bottom w:val="none" w:sz="0" w:space="0" w:color="auto"/>
        <w:right w:val="none" w:sz="0" w:space="0" w:color="auto"/>
      </w:divBdr>
      <w:divsChild>
        <w:div w:id="668797053">
          <w:marLeft w:val="0"/>
          <w:marRight w:val="0"/>
          <w:marTop w:val="0"/>
          <w:marBottom w:val="0"/>
          <w:divBdr>
            <w:top w:val="none" w:sz="0" w:space="0" w:color="auto"/>
            <w:left w:val="none" w:sz="0" w:space="0" w:color="auto"/>
            <w:bottom w:val="none" w:sz="0" w:space="0" w:color="auto"/>
            <w:right w:val="none" w:sz="0" w:space="0" w:color="auto"/>
          </w:divBdr>
          <w:divsChild>
            <w:div w:id="1351491697">
              <w:marLeft w:val="0"/>
              <w:marRight w:val="0"/>
              <w:marTop w:val="0"/>
              <w:marBottom w:val="0"/>
              <w:divBdr>
                <w:top w:val="none" w:sz="0" w:space="0" w:color="auto"/>
                <w:left w:val="none" w:sz="0" w:space="0" w:color="auto"/>
                <w:bottom w:val="none" w:sz="0" w:space="0" w:color="auto"/>
                <w:right w:val="none" w:sz="0" w:space="0" w:color="auto"/>
              </w:divBdr>
              <w:divsChild>
                <w:div w:id="8451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1746">
      <w:bodyDiv w:val="1"/>
      <w:marLeft w:val="0"/>
      <w:marRight w:val="0"/>
      <w:marTop w:val="0"/>
      <w:marBottom w:val="0"/>
      <w:divBdr>
        <w:top w:val="none" w:sz="0" w:space="0" w:color="auto"/>
        <w:left w:val="none" w:sz="0" w:space="0" w:color="auto"/>
        <w:bottom w:val="none" w:sz="0" w:space="0" w:color="auto"/>
        <w:right w:val="none" w:sz="0" w:space="0" w:color="auto"/>
      </w:divBdr>
      <w:divsChild>
        <w:div w:id="222182325">
          <w:marLeft w:val="0"/>
          <w:marRight w:val="0"/>
          <w:marTop w:val="0"/>
          <w:marBottom w:val="0"/>
          <w:divBdr>
            <w:top w:val="none" w:sz="0" w:space="0" w:color="auto"/>
            <w:left w:val="none" w:sz="0" w:space="0" w:color="auto"/>
            <w:bottom w:val="none" w:sz="0" w:space="0" w:color="auto"/>
            <w:right w:val="none" w:sz="0" w:space="0" w:color="auto"/>
          </w:divBdr>
        </w:div>
        <w:div w:id="507330803">
          <w:marLeft w:val="0"/>
          <w:marRight w:val="0"/>
          <w:marTop w:val="0"/>
          <w:marBottom w:val="0"/>
          <w:divBdr>
            <w:top w:val="none" w:sz="0" w:space="0" w:color="auto"/>
            <w:left w:val="none" w:sz="0" w:space="0" w:color="auto"/>
            <w:bottom w:val="none" w:sz="0" w:space="0" w:color="auto"/>
            <w:right w:val="none" w:sz="0" w:space="0" w:color="auto"/>
          </w:divBdr>
        </w:div>
        <w:div w:id="549343764">
          <w:marLeft w:val="0"/>
          <w:marRight w:val="0"/>
          <w:marTop w:val="0"/>
          <w:marBottom w:val="0"/>
          <w:divBdr>
            <w:top w:val="none" w:sz="0" w:space="0" w:color="auto"/>
            <w:left w:val="none" w:sz="0" w:space="0" w:color="auto"/>
            <w:bottom w:val="none" w:sz="0" w:space="0" w:color="auto"/>
            <w:right w:val="none" w:sz="0" w:space="0" w:color="auto"/>
          </w:divBdr>
        </w:div>
        <w:div w:id="597180426">
          <w:marLeft w:val="0"/>
          <w:marRight w:val="0"/>
          <w:marTop w:val="0"/>
          <w:marBottom w:val="0"/>
          <w:divBdr>
            <w:top w:val="none" w:sz="0" w:space="0" w:color="auto"/>
            <w:left w:val="none" w:sz="0" w:space="0" w:color="auto"/>
            <w:bottom w:val="none" w:sz="0" w:space="0" w:color="auto"/>
            <w:right w:val="none" w:sz="0" w:space="0" w:color="auto"/>
          </w:divBdr>
        </w:div>
        <w:div w:id="952128593">
          <w:marLeft w:val="0"/>
          <w:marRight w:val="0"/>
          <w:marTop w:val="0"/>
          <w:marBottom w:val="0"/>
          <w:divBdr>
            <w:top w:val="none" w:sz="0" w:space="0" w:color="auto"/>
            <w:left w:val="none" w:sz="0" w:space="0" w:color="auto"/>
            <w:bottom w:val="none" w:sz="0" w:space="0" w:color="auto"/>
            <w:right w:val="none" w:sz="0" w:space="0" w:color="auto"/>
          </w:divBdr>
        </w:div>
        <w:div w:id="1132865870">
          <w:marLeft w:val="0"/>
          <w:marRight w:val="0"/>
          <w:marTop w:val="0"/>
          <w:marBottom w:val="0"/>
          <w:divBdr>
            <w:top w:val="none" w:sz="0" w:space="0" w:color="auto"/>
            <w:left w:val="none" w:sz="0" w:space="0" w:color="auto"/>
            <w:bottom w:val="none" w:sz="0" w:space="0" w:color="auto"/>
            <w:right w:val="none" w:sz="0" w:space="0" w:color="auto"/>
          </w:divBdr>
        </w:div>
        <w:div w:id="1210923190">
          <w:marLeft w:val="0"/>
          <w:marRight w:val="0"/>
          <w:marTop w:val="0"/>
          <w:marBottom w:val="0"/>
          <w:divBdr>
            <w:top w:val="none" w:sz="0" w:space="0" w:color="auto"/>
            <w:left w:val="none" w:sz="0" w:space="0" w:color="auto"/>
            <w:bottom w:val="none" w:sz="0" w:space="0" w:color="auto"/>
            <w:right w:val="none" w:sz="0" w:space="0" w:color="auto"/>
          </w:divBdr>
        </w:div>
        <w:div w:id="1350641634">
          <w:marLeft w:val="0"/>
          <w:marRight w:val="0"/>
          <w:marTop w:val="0"/>
          <w:marBottom w:val="0"/>
          <w:divBdr>
            <w:top w:val="none" w:sz="0" w:space="0" w:color="auto"/>
            <w:left w:val="none" w:sz="0" w:space="0" w:color="auto"/>
            <w:bottom w:val="none" w:sz="0" w:space="0" w:color="auto"/>
            <w:right w:val="none" w:sz="0" w:space="0" w:color="auto"/>
          </w:divBdr>
        </w:div>
        <w:div w:id="1496074369">
          <w:marLeft w:val="0"/>
          <w:marRight w:val="0"/>
          <w:marTop w:val="0"/>
          <w:marBottom w:val="0"/>
          <w:divBdr>
            <w:top w:val="none" w:sz="0" w:space="0" w:color="auto"/>
            <w:left w:val="none" w:sz="0" w:space="0" w:color="auto"/>
            <w:bottom w:val="none" w:sz="0" w:space="0" w:color="auto"/>
            <w:right w:val="none" w:sz="0" w:space="0" w:color="auto"/>
          </w:divBdr>
        </w:div>
        <w:div w:id="1521554339">
          <w:marLeft w:val="0"/>
          <w:marRight w:val="0"/>
          <w:marTop w:val="0"/>
          <w:marBottom w:val="0"/>
          <w:divBdr>
            <w:top w:val="none" w:sz="0" w:space="0" w:color="auto"/>
            <w:left w:val="none" w:sz="0" w:space="0" w:color="auto"/>
            <w:bottom w:val="none" w:sz="0" w:space="0" w:color="auto"/>
            <w:right w:val="none" w:sz="0" w:space="0" w:color="auto"/>
          </w:divBdr>
        </w:div>
      </w:divsChild>
    </w:div>
    <w:div w:id="1038891673">
      <w:bodyDiv w:val="1"/>
      <w:marLeft w:val="0"/>
      <w:marRight w:val="0"/>
      <w:marTop w:val="0"/>
      <w:marBottom w:val="0"/>
      <w:divBdr>
        <w:top w:val="none" w:sz="0" w:space="0" w:color="auto"/>
        <w:left w:val="none" w:sz="0" w:space="0" w:color="auto"/>
        <w:bottom w:val="none" w:sz="0" w:space="0" w:color="auto"/>
        <w:right w:val="none" w:sz="0" w:space="0" w:color="auto"/>
      </w:divBdr>
      <w:divsChild>
        <w:div w:id="59328118">
          <w:marLeft w:val="0"/>
          <w:marRight w:val="0"/>
          <w:marTop w:val="0"/>
          <w:marBottom w:val="0"/>
          <w:divBdr>
            <w:top w:val="none" w:sz="0" w:space="0" w:color="auto"/>
            <w:left w:val="none" w:sz="0" w:space="0" w:color="auto"/>
            <w:bottom w:val="none" w:sz="0" w:space="0" w:color="auto"/>
            <w:right w:val="none" w:sz="0" w:space="0" w:color="auto"/>
          </w:divBdr>
          <w:divsChild>
            <w:div w:id="1932082804">
              <w:marLeft w:val="0"/>
              <w:marRight w:val="0"/>
              <w:marTop w:val="0"/>
              <w:marBottom w:val="0"/>
              <w:divBdr>
                <w:top w:val="none" w:sz="0" w:space="0" w:color="auto"/>
                <w:left w:val="none" w:sz="0" w:space="0" w:color="auto"/>
                <w:bottom w:val="none" w:sz="0" w:space="0" w:color="auto"/>
                <w:right w:val="none" w:sz="0" w:space="0" w:color="auto"/>
              </w:divBdr>
              <w:divsChild>
                <w:div w:id="343018059">
                  <w:marLeft w:val="0"/>
                  <w:marRight w:val="0"/>
                  <w:marTop w:val="0"/>
                  <w:marBottom w:val="0"/>
                  <w:divBdr>
                    <w:top w:val="none" w:sz="0" w:space="0" w:color="auto"/>
                    <w:left w:val="none" w:sz="0" w:space="0" w:color="auto"/>
                    <w:bottom w:val="none" w:sz="0" w:space="0" w:color="auto"/>
                    <w:right w:val="none" w:sz="0" w:space="0" w:color="auto"/>
                  </w:divBdr>
                  <w:divsChild>
                    <w:div w:id="1238900225">
                      <w:marLeft w:val="0"/>
                      <w:marRight w:val="0"/>
                      <w:marTop w:val="0"/>
                      <w:marBottom w:val="0"/>
                      <w:divBdr>
                        <w:top w:val="none" w:sz="0" w:space="0" w:color="auto"/>
                        <w:left w:val="none" w:sz="0" w:space="0" w:color="auto"/>
                        <w:bottom w:val="none" w:sz="0" w:space="0" w:color="auto"/>
                        <w:right w:val="none" w:sz="0" w:space="0" w:color="auto"/>
                      </w:divBdr>
                      <w:divsChild>
                        <w:div w:id="1861696318">
                          <w:marLeft w:val="0"/>
                          <w:marRight w:val="0"/>
                          <w:marTop w:val="0"/>
                          <w:marBottom w:val="0"/>
                          <w:divBdr>
                            <w:top w:val="none" w:sz="0" w:space="0" w:color="auto"/>
                            <w:left w:val="single" w:sz="4" w:space="0" w:color="FBC6A6"/>
                            <w:bottom w:val="single" w:sz="4" w:space="0" w:color="FBC6A6"/>
                            <w:right w:val="single" w:sz="4" w:space="0" w:color="FBC6A6"/>
                          </w:divBdr>
                          <w:divsChild>
                            <w:div w:id="1340889491">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0953">
      <w:bodyDiv w:val="1"/>
      <w:marLeft w:val="0"/>
      <w:marRight w:val="0"/>
      <w:marTop w:val="0"/>
      <w:marBottom w:val="0"/>
      <w:divBdr>
        <w:top w:val="none" w:sz="0" w:space="0" w:color="auto"/>
        <w:left w:val="none" w:sz="0" w:space="0" w:color="auto"/>
        <w:bottom w:val="none" w:sz="0" w:space="0" w:color="auto"/>
        <w:right w:val="none" w:sz="0" w:space="0" w:color="auto"/>
      </w:divBdr>
      <w:divsChild>
        <w:div w:id="1418021411">
          <w:marLeft w:val="0"/>
          <w:marRight w:val="0"/>
          <w:marTop w:val="0"/>
          <w:marBottom w:val="0"/>
          <w:divBdr>
            <w:top w:val="none" w:sz="0" w:space="0" w:color="auto"/>
            <w:left w:val="none" w:sz="0" w:space="0" w:color="auto"/>
            <w:bottom w:val="none" w:sz="0" w:space="0" w:color="auto"/>
            <w:right w:val="none" w:sz="0" w:space="0" w:color="auto"/>
          </w:divBdr>
          <w:divsChild>
            <w:div w:id="1441491240">
              <w:marLeft w:val="0"/>
              <w:marRight w:val="0"/>
              <w:marTop w:val="0"/>
              <w:marBottom w:val="0"/>
              <w:divBdr>
                <w:top w:val="none" w:sz="0" w:space="0" w:color="auto"/>
                <w:left w:val="none" w:sz="0" w:space="0" w:color="auto"/>
                <w:bottom w:val="none" w:sz="0" w:space="0" w:color="auto"/>
                <w:right w:val="none" w:sz="0" w:space="0" w:color="auto"/>
              </w:divBdr>
              <w:divsChild>
                <w:div w:id="207887708">
                  <w:marLeft w:val="0"/>
                  <w:marRight w:val="100"/>
                  <w:marTop w:val="0"/>
                  <w:marBottom w:val="0"/>
                  <w:divBdr>
                    <w:top w:val="none" w:sz="0" w:space="0" w:color="auto"/>
                    <w:left w:val="none" w:sz="0" w:space="0" w:color="auto"/>
                    <w:bottom w:val="none" w:sz="0" w:space="0" w:color="auto"/>
                    <w:right w:val="none" w:sz="0" w:space="0" w:color="auto"/>
                  </w:divBdr>
                  <w:divsChild>
                    <w:div w:id="259484937">
                      <w:marLeft w:val="0"/>
                      <w:marRight w:val="0"/>
                      <w:marTop w:val="0"/>
                      <w:marBottom w:val="0"/>
                      <w:divBdr>
                        <w:top w:val="none" w:sz="0" w:space="0" w:color="auto"/>
                        <w:left w:val="none" w:sz="0" w:space="0" w:color="auto"/>
                        <w:bottom w:val="none" w:sz="0" w:space="0" w:color="auto"/>
                        <w:right w:val="none" w:sz="0" w:space="0" w:color="auto"/>
                      </w:divBdr>
                      <w:divsChild>
                        <w:div w:id="893008754">
                          <w:marLeft w:val="0"/>
                          <w:marRight w:val="0"/>
                          <w:marTop w:val="0"/>
                          <w:marBottom w:val="0"/>
                          <w:divBdr>
                            <w:top w:val="none" w:sz="0" w:space="0" w:color="auto"/>
                            <w:left w:val="none" w:sz="0" w:space="0" w:color="auto"/>
                            <w:bottom w:val="none" w:sz="0" w:space="0" w:color="auto"/>
                            <w:right w:val="none" w:sz="0" w:space="0" w:color="auto"/>
                          </w:divBdr>
                          <w:divsChild>
                            <w:div w:id="266079384">
                              <w:marLeft w:val="0"/>
                              <w:marRight w:val="0"/>
                              <w:marTop w:val="0"/>
                              <w:marBottom w:val="0"/>
                              <w:divBdr>
                                <w:top w:val="none" w:sz="0" w:space="0" w:color="auto"/>
                                <w:left w:val="none" w:sz="0" w:space="0" w:color="auto"/>
                                <w:bottom w:val="none" w:sz="0" w:space="0" w:color="auto"/>
                                <w:right w:val="none" w:sz="0" w:space="0" w:color="auto"/>
                              </w:divBdr>
                              <w:divsChild>
                                <w:div w:id="672731855">
                                  <w:marLeft w:val="0"/>
                                  <w:marRight w:val="0"/>
                                  <w:marTop w:val="0"/>
                                  <w:marBottom w:val="0"/>
                                  <w:divBdr>
                                    <w:top w:val="none" w:sz="0" w:space="0" w:color="auto"/>
                                    <w:left w:val="none" w:sz="0" w:space="0" w:color="auto"/>
                                    <w:bottom w:val="none" w:sz="0" w:space="0" w:color="auto"/>
                                    <w:right w:val="none" w:sz="0" w:space="0" w:color="auto"/>
                                  </w:divBdr>
                                  <w:divsChild>
                                    <w:div w:id="128017719">
                                      <w:marLeft w:val="0"/>
                                      <w:marRight w:val="0"/>
                                      <w:marTop w:val="0"/>
                                      <w:marBottom w:val="0"/>
                                      <w:divBdr>
                                        <w:top w:val="none" w:sz="0" w:space="0" w:color="auto"/>
                                        <w:left w:val="none" w:sz="0" w:space="0" w:color="auto"/>
                                        <w:bottom w:val="none" w:sz="0" w:space="0" w:color="auto"/>
                                        <w:right w:val="none" w:sz="0" w:space="0" w:color="auto"/>
                                      </w:divBdr>
                                      <w:divsChild>
                                        <w:div w:id="1160655295">
                                          <w:marLeft w:val="0"/>
                                          <w:marRight w:val="0"/>
                                          <w:marTop w:val="0"/>
                                          <w:marBottom w:val="0"/>
                                          <w:divBdr>
                                            <w:top w:val="none" w:sz="0" w:space="0" w:color="auto"/>
                                            <w:left w:val="none" w:sz="0" w:space="0" w:color="auto"/>
                                            <w:bottom w:val="none" w:sz="0" w:space="0" w:color="auto"/>
                                            <w:right w:val="none" w:sz="0" w:space="0" w:color="auto"/>
                                          </w:divBdr>
                                          <w:divsChild>
                                            <w:div w:id="659623251">
                                              <w:marLeft w:val="0"/>
                                              <w:marRight w:val="0"/>
                                              <w:marTop w:val="150"/>
                                              <w:marBottom w:val="0"/>
                                              <w:divBdr>
                                                <w:top w:val="none" w:sz="0" w:space="0" w:color="auto"/>
                                                <w:left w:val="none" w:sz="0" w:space="0" w:color="auto"/>
                                                <w:bottom w:val="none" w:sz="0" w:space="0" w:color="auto"/>
                                                <w:right w:val="none" w:sz="0" w:space="0" w:color="auto"/>
                                              </w:divBdr>
                                              <w:divsChild>
                                                <w:div w:id="612791105">
                                                  <w:marLeft w:val="0"/>
                                                  <w:marRight w:val="0"/>
                                                  <w:marTop w:val="0"/>
                                                  <w:marBottom w:val="0"/>
                                                  <w:divBdr>
                                                    <w:top w:val="none" w:sz="0" w:space="0" w:color="auto"/>
                                                    <w:left w:val="none" w:sz="0" w:space="0" w:color="auto"/>
                                                    <w:bottom w:val="none" w:sz="0" w:space="0" w:color="auto"/>
                                                    <w:right w:val="none" w:sz="0" w:space="0" w:color="auto"/>
                                                  </w:divBdr>
                                                  <w:divsChild>
                                                    <w:div w:id="1241061859">
                                                      <w:marLeft w:val="0"/>
                                                      <w:marRight w:val="0"/>
                                                      <w:marTop w:val="0"/>
                                                      <w:marBottom w:val="0"/>
                                                      <w:divBdr>
                                                        <w:top w:val="none" w:sz="0" w:space="0" w:color="auto"/>
                                                        <w:left w:val="none" w:sz="0" w:space="0" w:color="auto"/>
                                                        <w:bottom w:val="none" w:sz="0" w:space="0" w:color="auto"/>
                                                        <w:right w:val="none" w:sz="0" w:space="0" w:color="auto"/>
                                                      </w:divBdr>
                                                      <w:divsChild>
                                                        <w:div w:id="1115443554">
                                                          <w:marLeft w:val="0"/>
                                                          <w:marRight w:val="0"/>
                                                          <w:marTop w:val="0"/>
                                                          <w:marBottom w:val="0"/>
                                                          <w:divBdr>
                                                            <w:top w:val="none" w:sz="0" w:space="0" w:color="auto"/>
                                                            <w:left w:val="none" w:sz="0" w:space="0" w:color="auto"/>
                                                            <w:bottom w:val="none" w:sz="0" w:space="0" w:color="auto"/>
                                                            <w:right w:val="none" w:sz="0" w:space="0" w:color="auto"/>
                                                          </w:divBdr>
                                                          <w:divsChild>
                                                            <w:div w:id="18675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0402987">
      <w:bodyDiv w:val="1"/>
      <w:marLeft w:val="0"/>
      <w:marRight w:val="0"/>
      <w:marTop w:val="0"/>
      <w:marBottom w:val="0"/>
      <w:divBdr>
        <w:top w:val="none" w:sz="0" w:space="0" w:color="auto"/>
        <w:left w:val="none" w:sz="0" w:space="0" w:color="auto"/>
        <w:bottom w:val="none" w:sz="0" w:space="0" w:color="auto"/>
        <w:right w:val="none" w:sz="0" w:space="0" w:color="auto"/>
      </w:divBdr>
      <w:divsChild>
        <w:div w:id="1500463117">
          <w:marLeft w:val="0"/>
          <w:marRight w:val="0"/>
          <w:marTop w:val="0"/>
          <w:marBottom w:val="0"/>
          <w:divBdr>
            <w:top w:val="none" w:sz="0" w:space="0" w:color="auto"/>
            <w:left w:val="none" w:sz="0" w:space="0" w:color="auto"/>
            <w:bottom w:val="none" w:sz="0" w:space="0" w:color="auto"/>
            <w:right w:val="none" w:sz="0" w:space="0" w:color="auto"/>
          </w:divBdr>
          <w:divsChild>
            <w:div w:id="1352218276">
              <w:marLeft w:val="0"/>
              <w:marRight w:val="0"/>
              <w:marTop w:val="200"/>
              <w:marBottom w:val="0"/>
              <w:divBdr>
                <w:top w:val="none" w:sz="0" w:space="0" w:color="auto"/>
                <w:left w:val="none" w:sz="0" w:space="0" w:color="auto"/>
                <w:bottom w:val="none" w:sz="0" w:space="0" w:color="auto"/>
                <w:right w:val="none" w:sz="0" w:space="0" w:color="auto"/>
              </w:divBdr>
              <w:divsChild>
                <w:div w:id="258682338">
                  <w:marLeft w:val="0"/>
                  <w:marRight w:val="0"/>
                  <w:marTop w:val="0"/>
                  <w:marBottom w:val="0"/>
                  <w:divBdr>
                    <w:top w:val="single" w:sz="4" w:space="0" w:color="E5E5E5"/>
                    <w:left w:val="single" w:sz="4" w:space="0" w:color="E5E5E5"/>
                    <w:bottom w:val="single" w:sz="4" w:space="0" w:color="E5E5E5"/>
                    <w:right w:val="single" w:sz="4" w:space="0" w:color="E5E5E5"/>
                  </w:divBdr>
                  <w:divsChild>
                    <w:div w:id="937326941">
                      <w:marLeft w:val="0"/>
                      <w:marRight w:val="0"/>
                      <w:marTop w:val="0"/>
                      <w:marBottom w:val="0"/>
                      <w:divBdr>
                        <w:top w:val="none" w:sz="0" w:space="0" w:color="auto"/>
                        <w:left w:val="none" w:sz="0" w:space="0" w:color="auto"/>
                        <w:bottom w:val="none" w:sz="0" w:space="0" w:color="auto"/>
                        <w:right w:val="none" w:sz="0" w:space="0" w:color="auto"/>
                      </w:divBdr>
                      <w:divsChild>
                        <w:div w:id="1717462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66614188">
      <w:bodyDiv w:val="1"/>
      <w:marLeft w:val="0"/>
      <w:marRight w:val="0"/>
      <w:marTop w:val="0"/>
      <w:marBottom w:val="0"/>
      <w:divBdr>
        <w:top w:val="none" w:sz="0" w:space="0" w:color="auto"/>
        <w:left w:val="none" w:sz="0" w:space="0" w:color="auto"/>
        <w:bottom w:val="none" w:sz="0" w:space="0" w:color="auto"/>
        <w:right w:val="none" w:sz="0" w:space="0" w:color="auto"/>
      </w:divBdr>
      <w:divsChild>
        <w:div w:id="1368332131">
          <w:marLeft w:val="0"/>
          <w:marRight w:val="0"/>
          <w:marTop w:val="0"/>
          <w:marBottom w:val="0"/>
          <w:divBdr>
            <w:top w:val="none" w:sz="0" w:space="0" w:color="auto"/>
            <w:left w:val="none" w:sz="0" w:space="0" w:color="auto"/>
            <w:bottom w:val="none" w:sz="0" w:space="0" w:color="auto"/>
            <w:right w:val="none" w:sz="0" w:space="0" w:color="auto"/>
          </w:divBdr>
          <w:divsChild>
            <w:div w:id="1635451950">
              <w:marLeft w:val="0"/>
              <w:marRight w:val="0"/>
              <w:marTop w:val="0"/>
              <w:marBottom w:val="0"/>
              <w:divBdr>
                <w:top w:val="none" w:sz="0" w:space="0" w:color="auto"/>
                <w:left w:val="none" w:sz="0" w:space="0" w:color="auto"/>
                <w:bottom w:val="none" w:sz="0" w:space="0" w:color="auto"/>
                <w:right w:val="none" w:sz="0" w:space="0" w:color="auto"/>
              </w:divBdr>
              <w:divsChild>
                <w:div w:id="1808931210">
                  <w:marLeft w:val="0"/>
                  <w:marRight w:val="0"/>
                  <w:marTop w:val="0"/>
                  <w:marBottom w:val="0"/>
                  <w:divBdr>
                    <w:top w:val="none" w:sz="0" w:space="0" w:color="auto"/>
                    <w:left w:val="none" w:sz="0" w:space="0" w:color="auto"/>
                    <w:bottom w:val="none" w:sz="0" w:space="0" w:color="auto"/>
                    <w:right w:val="none" w:sz="0" w:space="0" w:color="auto"/>
                  </w:divBdr>
                  <w:divsChild>
                    <w:div w:id="837381734">
                      <w:marLeft w:val="0"/>
                      <w:marRight w:val="0"/>
                      <w:marTop w:val="0"/>
                      <w:marBottom w:val="0"/>
                      <w:divBdr>
                        <w:top w:val="none" w:sz="0" w:space="0" w:color="auto"/>
                        <w:left w:val="none" w:sz="0" w:space="0" w:color="auto"/>
                        <w:bottom w:val="none" w:sz="0" w:space="0" w:color="auto"/>
                        <w:right w:val="none" w:sz="0" w:space="0" w:color="auto"/>
                      </w:divBdr>
                      <w:divsChild>
                        <w:div w:id="6655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729744">
      <w:bodyDiv w:val="1"/>
      <w:marLeft w:val="0"/>
      <w:marRight w:val="0"/>
      <w:marTop w:val="0"/>
      <w:marBottom w:val="0"/>
      <w:divBdr>
        <w:top w:val="none" w:sz="0" w:space="0" w:color="auto"/>
        <w:left w:val="none" w:sz="0" w:space="0" w:color="auto"/>
        <w:bottom w:val="none" w:sz="0" w:space="0" w:color="auto"/>
        <w:right w:val="none" w:sz="0" w:space="0" w:color="auto"/>
      </w:divBdr>
      <w:divsChild>
        <w:div w:id="199779840">
          <w:marLeft w:val="0"/>
          <w:marRight w:val="0"/>
          <w:marTop w:val="0"/>
          <w:marBottom w:val="0"/>
          <w:divBdr>
            <w:top w:val="none" w:sz="0" w:space="0" w:color="auto"/>
            <w:left w:val="none" w:sz="0" w:space="0" w:color="auto"/>
            <w:bottom w:val="none" w:sz="0" w:space="0" w:color="auto"/>
            <w:right w:val="none" w:sz="0" w:space="0" w:color="auto"/>
          </w:divBdr>
          <w:divsChild>
            <w:div w:id="233050831">
              <w:marLeft w:val="0"/>
              <w:marRight w:val="0"/>
              <w:marTop w:val="200"/>
              <w:marBottom w:val="0"/>
              <w:divBdr>
                <w:top w:val="none" w:sz="0" w:space="0" w:color="auto"/>
                <w:left w:val="none" w:sz="0" w:space="0" w:color="auto"/>
                <w:bottom w:val="none" w:sz="0" w:space="0" w:color="auto"/>
                <w:right w:val="none" w:sz="0" w:space="0" w:color="auto"/>
              </w:divBdr>
              <w:divsChild>
                <w:div w:id="648025003">
                  <w:marLeft w:val="0"/>
                  <w:marRight w:val="0"/>
                  <w:marTop w:val="0"/>
                  <w:marBottom w:val="0"/>
                  <w:divBdr>
                    <w:top w:val="single" w:sz="4" w:space="0" w:color="E5E5E5"/>
                    <w:left w:val="single" w:sz="4" w:space="0" w:color="E5E5E5"/>
                    <w:bottom w:val="single" w:sz="4" w:space="0" w:color="E5E5E5"/>
                    <w:right w:val="single" w:sz="4" w:space="0" w:color="E5E5E5"/>
                  </w:divBdr>
                  <w:divsChild>
                    <w:div w:id="1326592078">
                      <w:marLeft w:val="0"/>
                      <w:marRight w:val="0"/>
                      <w:marTop w:val="0"/>
                      <w:marBottom w:val="0"/>
                      <w:divBdr>
                        <w:top w:val="none" w:sz="0" w:space="0" w:color="auto"/>
                        <w:left w:val="none" w:sz="0" w:space="0" w:color="auto"/>
                        <w:bottom w:val="none" w:sz="0" w:space="0" w:color="auto"/>
                        <w:right w:val="none" w:sz="0" w:space="0" w:color="auto"/>
                      </w:divBdr>
                      <w:divsChild>
                        <w:div w:id="895896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84444478">
      <w:bodyDiv w:val="1"/>
      <w:marLeft w:val="0"/>
      <w:marRight w:val="0"/>
      <w:marTop w:val="0"/>
      <w:marBottom w:val="0"/>
      <w:divBdr>
        <w:top w:val="none" w:sz="0" w:space="0" w:color="auto"/>
        <w:left w:val="none" w:sz="0" w:space="0" w:color="auto"/>
        <w:bottom w:val="none" w:sz="0" w:space="0" w:color="auto"/>
        <w:right w:val="none" w:sz="0" w:space="0" w:color="auto"/>
      </w:divBdr>
      <w:divsChild>
        <w:div w:id="1764495186">
          <w:marLeft w:val="0"/>
          <w:marRight w:val="0"/>
          <w:marTop w:val="0"/>
          <w:marBottom w:val="0"/>
          <w:divBdr>
            <w:top w:val="none" w:sz="0" w:space="0" w:color="auto"/>
            <w:left w:val="none" w:sz="0" w:space="0" w:color="auto"/>
            <w:bottom w:val="none" w:sz="0" w:space="0" w:color="auto"/>
            <w:right w:val="none" w:sz="0" w:space="0" w:color="auto"/>
          </w:divBdr>
          <w:divsChild>
            <w:div w:id="714500059">
              <w:marLeft w:val="0"/>
              <w:marRight w:val="0"/>
              <w:marTop w:val="0"/>
              <w:marBottom w:val="0"/>
              <w:divBdr>
                <w:top w:val="none" w:sz="0" w:space="0" w:color="auto"/>
                <w:left w:val="none" w:sz="0" w:space="0" w:color="auto"/>
                <w:bottom w:val="none" w:sz="0" w:space="0" w:color="auto"/>
                <w:right w:val="none" w:sz="0" w:space="0" w:color="auto"/>
              </w:divBdr>
              <w:divsChild>
                <w:div w:id="1124541207">
                  <w:marLeft w:val="0"/>
                  <w:marRight w:val="0"/>
                  <w:marTop w:val="0"/>
                  <w:marBottom w:val="0"/>
                  <w:divBdr>
                    <w:top w:val="none" w:sz="0" w:space="0" w:color="auto"/>
                    <w:left w:val="none" w:sz="0" w:space="0" w:color="auto"/>
                    <w:bottom w:val="none" w:sz="0" w:space="0" w:color="auto"/>
                    <w:right w:val="none" w:sz="0" w:space="0" w:color="auto"/>
                  </w:divBdr>
                  <w:divsChild>
                    <w:div w:id="2090544173">
                      <w:marLeft w:val="100"/>
                      <w:marRight w:val="0"/>
                      <w:marTop w:val="0"/>
                      <w:marBottom w:val="0"/>
                      <w:divBdr>
                        <w:top w:val="none" w:sz="0" w:space="0" w:color="auto"/>
                        <w:left w:val="none" w:sz="0" w:space="0" w:color="auto"/>
                        <w:bottom w:val="none" w:sz="0" w:space="0" w:color="auto"/>
                        <w:right w:val="none" w:sz="0" w:space="0" w:color="auto"/>
                      </w:divBdr>
                      <w:divsChild>
                        <w:div w:id="1165393128">
                          <w:marLeft w:val="0"/>
                          <w:marRight w:val="0"/>
                          <w:marTop w:val="0"/>
                          <w:marBottom w:val="100"/>
                          <w:divBdr>
                            <w:top w:val="none" w:sz="0" w:space="0" w:color="auto"/>
                            <w:left w:val="none" w:sz="0" w:space="0" w:color="auto"/>
                            <w:bottom w:val="none" w:sz="0" w:space="0" w:color="auto"/>
                            <w:right w:val="none" w:sz="0" w:space="0" w:color="auto"/>
                          </w:divBdr>
                          <w:divsChild>
                            <w:div w:id="348220482">
                              <w:marLeft w:val="0"/>
                              <w:marRight w:val="0"/>
                              <w:marTop w:val="0"/>
                              <w:marBottom w:val="0"/>
                              <w:divBdr>
                                <w:top w:val="none" w:sz="0" w:space="0" w:color="auto"/>
                                <w:left w:val="none" w:sz="0" w:space="0" w:color="auto"/>
                                <w:bottom w:val="none" w:sz="0" w:space="0" w:color="auto"/>
                                <w:right w:val="none" w:sz="0" w:space="0" w:color="auto"/>
                              </w:divBdr>
                              <w:divsChild>
                                <w:div w:id="1899777400">
                                  <w:marLeft w:val="0"/>
                                  <w:marRight w:val="0"/>
                                  <w:marTop w:val="0"/>
                                  <w:marBottom w:val="0"/>
                                  <w:divBdr>
                                    <w:top w:val="none" w:sz="0" w:space="0" w:color="auto"/>
                                    <w:left w:val="none" w:sz="0" w:space="0" w:color="auto"/>
                                    <w:bottom w:val="none" w:sz="0" w:space="0" w:color="auto"/>
                                    <w:right w:val="none" w:sz="0" w:space="0" w:color="auto"/>
                                  </w:divBdr>
                                  <w:divsChild>
                                    <w:div w:id="12195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862699">
      <w:bodyDiv w:val="1"/>
      <w:marLeft w:val="0"/>
      <w:marRight w:val="0"/>
      <w:marTop w:val="0"/>
      <w:marBottom w:val="0"/>
      <w:divBdr>
        <w:top w:val="none" w:sz="0" w:space="0" w:color="auto"/>
        <w:left w:val="none" w:sz="0" w:space="0" w:color="auto"/>
        <w:bottom w:val="none" w:sz="0" w:space="0" w:color="auto"/>
        <w:right w:val="none" w:sz="0" w:space="0" w:color="auto"/>
      </w:divBdr>
      <w:divsChild>
        <w:div w:id="928075400">
          <w:marLeft w:val="0"/>
          <w:marRight w:val="0"/>
          <w:marTop w:val="0"/>
          <w:marBottom w:val="0"/>
          <w:divBdr>
            <w:top w:val="none" w:sz="0" w:space="0" w:color="auto"/>
            <w:left w:val="none" w:sz="0" w:space="0" w:color="auto"/>
            <w:bottom w:val="none" w:sz="0" w:space="0" w:color="auto"/>
            <w:right w:val="none" w:sz="0" w:space="0" w:color="auto"/>
          </w:divBdr>
          <w:divsChild>
            <w:div w:id="93014873">
              <w:marLeft w:val="0"/>
              <w:marRight w:val="0"/>
              <w:marTop w:val="0"/>
              <w:marBottom w:val="0"/>
              <w:divBdr>
                <w:top w:val="none" w:sz="0" w:space="0" w:color="auto"/>
                <w:left w:val="none" w:sz="0" w:space="0" w:color="auto"/>
                <w:bottom w:val="none" w:sz="0" w:space="0" w:color="auto"/>
                <w:right w:val="none" w:sz="0" w:space="0" w:color="auto"/>
              </w:divBdr>
              <w:divsChild>
                <w:div w:id="670959470">
                  <w:marLeft w:val="0"/>
                  <w:marRight w:val="0"/>
                  <w:marTop w:val="0"/>
                  <w:marBottom w:val="0"/>
                  <w:divBdr>
                    <w:top w:val="none" w:sz="0" w:space="0" w:color="auto"/>
                    <w:left w:val="none" w:sz="0" w:space="0" w:color="auto"/>
                    <w:bottom w:val="none" w:sz="0" w:space="0" w:color="auto"/>
                    <w:right w:val="none" w:sz="0" w:space="0" w:color="auto"/>
                  </w:divBdr>
                  <w:divsChild>
                    <w:div w:id="220138911">
                      <w:marLeft w:val="0"/>
                      <w:marRight w:val="0"/>
                      <w:marTop w:val="0"/>
                      <w:marBottom w:val="0"/>
                      <w:divBdr>
                        <w:top w:val="none" w:sz="0" w:space="0" w:color="auto"/>
                        <w:left w:val="none" w:sz="0" w:space="0" w:color="auto"/>
                        <w:bottom w:val="none" w:sz="0" w:space="0" w:color="auto"/>
                        <w:right w:val="none" w:sz="0" w:space="0" w:color="auto"/>
                      </w:divBdr>
                      <w:divsChild>
                        <w:div w:id="1420906075">
                          <w:marLeft w:val="0"/>
                          <w:marRight w:val="0"/>
                          <w:marTop w:val="0"/>
                          <w:marBottom w:val="0"/>
                          <w:divBdr>
                            <w:top w:val="none" w:sz="0" w:space="0" w:color="auto"/>
                            <w:left w:val="single" w:sz="4" w:space="0" w:color="FBC6A6"/>
                            <w:bottom w:val="single" w:sz="4" w:space="0" w:color="FBC6A6"/>
                            <w:right w:val="single" w:sz="4" w:space="0" w:color="FBC6A6"/>
                          </w:divBdr>
                          <w:divsChild>
                            <w:div w:id="770391747">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780203">
      <w:bodyDiv w:val="1"/>
      <w:marLeft w:val="0"/>
      <w:marRight w:val="0"/>
      <w:marTop w:val="0"/>
      <w:marBottom w:val="0"/>
      <w:divBdr>
        <w:top w:val="none" w:sz="0" w:space="0" w:color="auto"/>
        <w:left w:val="none" w:sz="0" w:space="0" w:color="auto"/>
        <w:bottom w:val="none" w:sz="0" w:space="0" w:color="auto"/>
        <w:right w:val="none" w:sz="0" w:space="0" w:color="auto"/>
      </w:divBdr>
      <w:divsChild>
        <w:div w:id="1940479678">
          <w:marLeft w:val="0"/>
          <w:marRight w:val="0"/>
          <w:marTop w:val="0"/>
          <w:marBottom w:val="0"/>
          <w:divBdr>
            <w:top w:val="none" w:sz="0" w:space="0" w:color="auto"/>
            <w:left w:val="none" w:sz="0" w:space="0" w:color="auto"/>
            <w:bottom w:val="none" w:sz="0" w:space="0" w:color="auto"/>
            <w:right w:val="none" w:sz="0" w:space="0" w:color="auto"/>
          </w:divBdr>
          <w:divsChild>
            <w:div w:id="1697729738">
              <w:marLeft w:val="0"/>
              <w:marRight w:val="0"/>
              <w:marTop w:val="0"/>
              <w:marBottom w:val="0"/>
              <w:divBdr>
                <w:top w:val="none" w:sz="0" w:space="0" w:color="auto"/>
                <w:left w:val="none" w:sz="0" w:space="0" w:color="auto"/>
                <w:bottom w:val="none" w:sz="0" w:space="0" w:color="auto"/>
                <w:right w:val="none" w:sz="0" w:space="0" w:color="auto"/>
              </w:divBdr>
              <w:divsChild>
                <w:div w:id="1366130002">
                  <w:marLeft w:val="0"/>
                  <w:marRight w:val="100"/>
                  <w:marTop w:val="0"/>
                  <w:marBottom w:val="0"/>
                  <w:divBdr>
                    <w:top w:val="none" w:sz="0" w:space="0" w:color="auto"/>
                    <w:left w:val="none" w:sz="0" w:space="0" w:color="auto"/>
                    <w:bottom w:val="none" w:sz="0" w:space="0" w:color="auto"/>
                    <w:right w:val="none" w:sz="0" w:space="0" w:color="auto"/>
                  </w:divBdr>
                  <w:divsChild>
                    <w:div w:id="1221016929">
                      <w:marLeft w:val="0"/>
                      <w:marRight w:val="0"/>
                      <w:marTop w:val="0"/>
                      <w:marBottom w:val="0"/>
                      <w:divBdr>
                        <w:top w:val="none" w:sz="0" w:space="0" w:color="auto"/>
                        <w:left w:val="none" w:sz="0" w:space="0" w:color="auto"/>
                        <w:bottom w:val="none" w:sz="0" w:space="0" w:color="auto"/>
                        <w:right w:val="none" w:sz="0" w:space="0" w:color="auto"/>
                      </w:divBdr>
                      <w:divsChild>
                        <w:div w:id="660280326">
                          <w:marLeft w:val="0"/>
                          <w:marRight w:val="0"/>
                          <w:marTop w:val="0"/>
                          <w:marBottom w:val="0"/>
                          <w:divBdr>
                            <w:top w:val="none" w:sz="0" w:space="0" w:color="auto"/>
                            <w:left w:val="none" w:sz="0" w:space="0" w:color="auto"/>
                            <w:bottom w:val="none" w:sz="0" w:space="0" w:color="auto"/>
                            <w:right w:val="none" w:sz="0" w:space="0" w:color="auto"/>
                          </w:divBdr>
                          <w:divsChild>
                            <w:div w:id="223487286">
                              <w:marLeft w:val="0"/>
                              <w:marRight w:val="0"/>
                              <w:marTop w:val="0"/>
                              <w:marBottom w:val="0"/>
                              <w:divBdr>
                                <w:top w:val="none" w:sz="0" w:space="0" w:color="auto"/>
                                <w:left w:val="none" w:sz="0" w:space="0" w:color="auto"/>
                                <w:bottom w:val="none" w:sz="0" w:space="0" w:color="auto"/>
                                <w:right w:val="none" w:sz="0" w:space="0" w:color="auto"/>
                              </w:divBdr>
                              <w:divsChild>
                                <w:div w:id="139349908">
                                  <w:marLeft w:val="0"/>
                                  <w:marRight w:val="0"/>
                                  <w:marTop w:val="0"/>
                                  <w:marBottom w:val="0"/>
                                  <w:divBdr>
                                    <w:top w:val="none" w:sz="0" w:space="0" w:color="auto"/>
                                    <w:left w:val="none" w:sz="0" w:space="0" w:color="auto"/>
                                    <w:bottom w:val="none" w:sz="0" w:space="0" w:color="auto"/>
                                    <w:right w:val="none" w:sz="0" w:space="0" w:color="auto"/>
                                  </w:divBdr>
                                  <w:divsChild>
                                    <w:div w:id="1372143774">
                                      <w:marLeft w:val="0"/>
                                      <w:marRight w:val="0"/>
                                      <w:marTop w:val="0"/>
                                      <w:marBottom w:val="0"/>
                                      <w:divBdr>
                                        <w:top w:val="none" w:sz="0" w:space="0" w:color="auto"/>
                                        <w:left w:val="none" w:sz="0" w:space="0" w:color="auto"/>
                                        <w:bottom w:val="none" w:sz="0" w:space="0" w:color="auto"/>
                                        <w:right w:val="none" w:sz="0" w:space="0" w:color="auto"/>
                                      </w:divBdr>
                                      <w:divsChild>
                                        <w:div w:id="2002150336">
                                          <w:marLeft w:val="0"/>
                                          <w:marRight w:val="0"/>
                                          <w:marTop w:val="0"/>
                                          <w:marBottom w:val="0"/>
                                          <w:divBdr>
                                            <w:top w:val="none" w:sz="0" w:space="0" w:color="auto"/>
                                            <w:left w:val="none" w:sz="0" w:space="0" w:color="auto"/>
                                            <w:bottom w:val="none" w:sz="0" w:space="0" w:color="auto"/>
                                            <w:right w:val="none" w:sz="0" w:space="0" w:color="auto"/>
                                          </w:divBdr>
                                          <w:divsChild>
                                            <w:div w:id="151800593">
                                              <w:marLeft w:val="0"/>
                                              <w:marRight w:val="0"/>
                                              <w:marTop w:val="150"/>
                                              <w:marBottom w:val="0"/>
                                              <w:divBdr>
                                                <w:top w:val="none" w:sz="0" w:space="0" w:color="auto"/>
                                                <w:left w:val="none" w:sz="0" w:space="0" w:color="auto"/>
                                                <w:bottom w:val="none" w:sz="0" w:space="0" w:color="auto"/>
                                                <w:right w:val="none" w:sz="0" w:space="0" w:color="auto"/>
                                              </w:divBdr>
                                              <w:divsChild>
                                                <w:div w:id="684550485">
                                                  <w:marLeft w:val="0"/>
                                                  <w:marRight w:val="0"/>
                                                  <w:marTop w:val="0"/>
                                                  <w:marBottom w:val="0"/>
                                                  <w:divBdr>
                                                    <w:top w:val="none" w:sz="0" w:space="0" w:color="auto"/>
                                                    <w:left w:val="none" w:sz="0" w:space="0" w:color="auto"/>
                                                    <w:bottom w:val="none" w:sz="0" w:space="0" w:color="auto"/>
                                                    <w:right w:val="none" w:sz="0" w:space="0" w:color="auto"/>
                                                  </w:divBdr>
                                                  <w:divsChild>
                                                    <w:div w:id="1228345126">
                                                      <w:marLeft w:val="0"/>
                                                      <w:marRight w:val="0"/>
                                                      <w:marTop w:val="0"/>
                                                      <w:marBottom w:val="0"/>
                                                      <w:divBdr>
                                                        <w:top w:val="none" w:sz="0" w:space="0" w:color="auto"/>
                                                        <w:left w:val="none" w:sz="0" w:space="0" w:color="auto"/>
                                                        <w:bottom w:val="none" w:sz="0" w:space="0" w:color="auto"/>
                                                        <w:right w:val="none" w:sz="0" w:space="0" w:color="auto"/>
                                                      </w:divBdr>
                                                      <w:divsChild>
                                                        <w:div w:id="981348461">
                                                          <w:marLeft w:val="0"/>
                                                          <w:marRight w:val="0"/>
                                                          <w:marTop w:val="0"/>
                                                          <w:marBottom w:val="0"/>
                                                          <w:divBdr>
                                                            <w:top w:val="none" w:sz="0" w:space="0" w:color="auto"/>
                                                            <w:left w:val="none" w:sz="0" w:space="0" w:color="auto"/>
                                                            <w:bottom w:val="none" w:sz="0" w:space="0" w:color="auto"/>
                                                            <w:right w:val="none" w:sz="0" w:space="0" w:color="auto"/>
                                                          </w:divBdr>
                                                          <w:divsChild>
                                                            <w:div w:id="1423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481832">
      <w:bodyDiv w:val="1"/>
      <w:marLeft w:val="0"/>
      <w:marRight w:val="0"/>
      <w:marTop w:val="0"/>
      <w:marBottom w:val="0"/>
      <w:divBdr>
        <w:top w:val="none" w:sz="0" w:space="0" w:color="auto"/>
        <w:left w:val="none" w:sz="0" w:space="0" w:color="auto"/>
        <w:bottom w:val="none" w:sz="0" w:space="0" w:color="auto"/>
        <w:right w:val="none" w:sz="0" w:space="0" w:color="auto"/>
      </w:divBdr>
      <w:divsChild>
        <w:div w:id="535238513">
          <w:marLeft w:val="0"/>
          <w:marRight w:val="0"/>
          <w:marTop w:val="0"/>
          <w:marBottom w:val="0"/>
          <w:divBdr>
            <w:top w:val="none" w:sz="0" w:space="0" w:color="auto"/>
            <w:left w:val="none" w:sz="0" w:space="0" w:color="auto"/>
            <w:bottom w:val="none" w:sz="0" w:space="0" w:color="auto"/>
            <w:right w:val="none" w:sz="0" w:space="0" w:color="auto"/>
          </w:divBdr>
          <w:divsChild>
            <w:div w:id="1115556559">
              <w:marLeft w:val="0"/>
              <w:marRight w:val="0"/>
              <w:marTop w:val="200"/>
              <w:marBottom w:val="0"/>
              <w:divBdr>
                <w:top w:val="none" w:sz="0" w:space="0" w:color="auto"/>
                <w:left w:val="none" w:sz="0" w:space="0" w:color="auto"/>
                <w:bottom w:val="none" w:sz="0" w:space="0" w:color="auto"/>
                <w:right w:val="none" w:sz="0" w:space="0" w:color="auto"/>
              </w:divBdr>
              <w:divsChild>
                <w:div w:id="1633515520">
                  <w:marLeft w:val="0"/>
                  <w:marRight w:val="0"/>
                  <w:marTop w:val="0"/>
                  <w:marBottom w:val="0"/>
                  <w:divBdr>
                    <w:top w:val="single" w:sz="4" w:space="0" w:color="E5E5E5"/>
                    <w:left w:val="single" w:sz="4" w:space="0" w:color="E5E5E5"/>
                    <w:bottom w:val="single" w:sz="4" w:space="0" w:color="E5E5E5"/>
                    <w:right w:val="single" w:sz="4" w:space="0" w:color="E5E5E5"/>
                  </w:divBdr>
                  <w:divsChild>
                    <w:div w:id="905535324">
                      <w:marLeft w:val="0"/>
                      <w:marRight w:val="0"/>
                      <w:marTop w:val="0"/>
                      <w:marBottom w:val="0"/>
                      <w:divBdr>
                        <w:top w:val="none" w:sz="0" w:space="0" w:color="auto"/>
                        <w:left w:val="none" w:sz="0" w:space="0" w:color="auto"/>
                        <w:bottom w:val="none" w:sz="0" w:space="0" w:color="auto"/>
                        <w:right w:val="none" w:sz="0" w:space="0" w:color="auto"/>
                      </w:divBdr>
                      <w:divsChild>
                        <w:div w:id="2103916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45936554">
      <w:bodyDiv w:val="1"/>
      <w:marLeft w:val="0"/>
      <w:marRight w:val="0"/>
      <w:marTop w:val="0"/>
      <w:marBottom w:val="0"/>
      <w:divBdr>
        <w:top w:val="none" w:sz="0" w:space="0" w:color="auto"/>
        <w:left w:val="none" w:sz="0" w:space="0" w:color="auto"/>
        <w:bottom w:val="none" w:sz="0" w:space="0" w:color="auto"/>
        <w:right w:val="none" w:sz="0" w:space="0" w:color="auto"/>
      </w:divBdr>
      <w:divsChild>
        <w:div w:id="602229687">
          <w:marLeft w:val="0"/>
          <w:marRight w:val="0"/>
          <w:marTop w:val="0"/>
          <w:marBottom w:val="0"/>
          <w:divBdr>
            <w:top w:val="none" w:sz="0" w:space="0" w:color="auto"/>
            <w:left w:val="none" w:sz="0" w:space="0" w:color="auto"/>
            <w:bottom w:val="none" w:sz="0" w:space="0" w:color="auto"/>
            <w:right w:val="none" w:sz="0" w:space="0" w:color="auto"/>
          </w:divBdr>
          <w:divsChild>
            <w:div w:id="1967274202">
              <w:marLeft w:val="0"/>
              <w:marRight w:val="0"/>
              <w:marTop w:val="0"/>
              <w:marBottom w:val="0"/>
              <w:divBdr>
                <w:top w:val="none" w:sz="0" w:space="0" w:color="auto"/>
                <w:left w:val="none" w:sz="0" w:space="0" w:color="auto"/>
                <w:bottom w:val="none" w:sz="0" w:space="0" w:color="auto"/>
                <w:right w:val="none" w:sz="0" w:space="0" w:color="auto"/>
              </w:divBdr>
              <w:divsChild>
                <w:div w:id="1697389463">
                  <w:marLeft w:val="0"/>
                  <w:marRight w:val="0"/>
                  <w:marTop w:val="0"/>
                  <w:marBottom w:val="0"/>
                  <w:divBdr>
                    <w:top w:val="none" w:sz="0" w:space="0" w:color="auto"/>
                    <w:left w:val="none" w:sz="0" w:space="0" w:color="auto"/>
                    <w:bottom w:val="none" w:sz="0" w:space="0" w:color="auto"/>
                    <w:right w:val="none" w:sz="0" w:space="0" w:color="auto"/>
                  </w:divBdr>
                  <w:divsChild>
                    <w:div w:id="570776922">
                      <w:marLeft w:val="0"/>
                      <w:marRight w:val="0"/>
                      <w:marTop w:val="0"/>
                      <w:marBottom w:val="0"/>
                      <w:divBdr>
                        <w:top w:val="none" w:sz="0" w:space="0" w:color="auto"/>
                        <w:left w:val="none" w:sz="0" w:space="0" w:color="auto"/>
                        <w:bottom w:val="none" w:sz="0" w:space="0" w:color="auto"/>
                        <w:right w:val="none" w:sz="0" w:space="0" w:color="auto"/>
                      </w:divBdr>
                      <w:divsChild>
                        <w:div w:id="1536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174971">
      <w:bodyDiv w:val="1"/>
      <w:marLeft w:val="0"/>
      <w:marRight w:val="0"/>
      <w:marTop w:val="0"/>
      <w:marBottom w:val="0"/>
      <w:divBdr>
        <w:top w:val="none" w:sz="0" w:space="0" w:color="auto"/>
        <w:left w:val="none" w:sz="0" w:space="0" w:color="auto"/>
        <w:bottom w:val="none" w:sz="0" w:space="0" w:color="auto"/>
        <w:right w:val="none" w:sz="0" w:space="0" w:color="auto"/>
      </w:divBdr>
      <w:divsChild>
        <w:div w:id="489058614">
          <w:marLeft w:val="0"/>
          <w:marRight w:val="0"/>
          <w:marTop w:val="0"/>
          <w:marBottom w:val="0"/>
          <w:divBdr>
            <w:top w:val="none" w:sz="0" w:space="0" w:color="auto"/>
            <w:left w:val="none" w:sz="0" w:space="0" w:color="auto"/>
            <w:bottom w:val="none" w:sz="0" w:space="0" w:color="auto"/>
            <w:right w:val="none" w:sz="0" w:space="0" w:color="auto"/>
          </w:divBdr>
          <w:divsChild>
            <w:div w:id="891574789">
              <w:marLeft w:val="0"/>
              <w:marRight w:val="0"/>
              <w:marTop w:val="0"/>
              <w:marBottom w:val="0"/>
              <w:divBdr>
                <w:top w:val="none" w:sz="0" w:space="0" w:color="auto"/>
                <w:left w:val="none" w:sz="0" w:space="0" w:color="auto"/>
                <w:bottom w:val="none" w:sz="0" w:space="0" w:color="auto"/>
                <w:right w:val="none" w:sz="0" w:space="0" w:color="auto"/>
              </w:divBdr>
              <w:divsChild>
                <w:div w:id="357701738">
                  <w:marLeft w:val="0"/>
                  <w:marRight w:val="0"/>
                  <w:marTop w:val="0"/>
                  <w:marBottom w:val="0"/>
                  <w:divBdr>
                    <w:top w:val="none" w:sz="0" w:space="0" w:color="auto"/>
                    <w:left w:val="none" w:sz="0" w:space="0" w:color="auto"/>
                    <w:bottom w:val="none" w:sz="0" w:space="0" w:color="auto"/>
                    <w:right w:val="none" w:sz="0" w:space="0" w:color="auto"/>
                  </w:divBdr>
                  <w:divsChild>
                    <w:div w:id="1218393132">
                      <w:marLeft w:val="0"/>
                      <w:marRight w:val="0"/>
                      <w:marTop w:val="0"/>
                      <w:marBottom w:val="0"/>
                      <w:divBdr>
                        <w:top w:val="none" w:sz="0" w:space="0" w:color="auto"/>
                        <w:left w:val="none" w:sz="0" w:space="0" w:color="auto"/>
                        <w:bottom w:val="none" w:sz="0" w:space="0" w:color="auto"/>
                        <w:right w:val="none" w:sz="0" w:space="0" w:color="auto"/>
                      </w:divBdr>
                      <w:divsChild>
                        <w:div w:id="9621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60458">
      <w:bodyDiv w:val="1"/>
      <w:marLeft w:val="0"/>
      <w:marRight w:val="0"/>
      <w:marTop w:val="0"/>
      <w:marBottom w:val="0"/>
      <w:divBdr>
        <w:top w:val="none" w:sz="0" w:space="0" w:color="auto"/>
        <w:left w:val="none" w:sz="0" w:space="0" w:color="auto"/>
        <w:bottom w:val="none" w:sz="0" w:space="0" w:color="auto"/>
        <w:right w:val="none" w:sz="0" w:space="0" w:color="auto"/>
      </w:divBdr>
      <w:divsChild>
        <w:div w:id="291908990">
          <w:marLeft w:val="0"/>
          <w:marRight w:val="0"/>
          <w:marTop w:val="0"/>
          <w:marBottom w:val="0"/>
          <w:divBdr>
            <w:top w:val="none" w:sz="0" w:space="0" w:color="auto"/>
            <w:left w:val="none" w:sz="0" w:space="0" w:color="auto"/>
            <w:bottom w:val="none" w:sz="0" w:space="0" w:color="auto"/>
            <w:right w:val="none" w:sz="0" w:space="0" w:color="auto"/>
          </w:divBdr>
        </w:div>
      </w:divsChild>
    </w:div>
    <w:div w:id="1426681896">
      <w:bodyDiv w:val="1"/>
      <w:marLeft w:val="0"/>
      <w:marRight w:val="0"/>
      <w:marTop w:val="0"/>
      <w:marBottom w:val="0"/>
      <w:divBdr>
        <w:top w:val="none" w:sz="0" w:space="0" w:color="auto"/>
        <w:left w:val="none" w:sz="0" w:space="0" w:color="auto"/>
        <w:bottom w:val="none" w:sz="0" w:space="0" w:color="auto"/>
        <w:right w:val="none" w:sz="0" w:space="0" w:color="auto"/>
      </w:divBdr>
      <w:divsChild>
        <w:div w:id="1311060154">
          <w:marLeft w:val="0"/>
          <w:marRight w:val="0"/>
          <w:marTop w:val="0"/>
          <w:marBottom w:val="0"/>
          <w:divBdr>
            <w:top w:val="none" w:sz="0" w:space="0" w:color="auto"/>
            <w:left w:val="none" w:sz="0" w:space="0" w:color="auto"/>
            <w:bottom w:val="none" w:sz="0" w:space="0" w:color="auto"/>
            <w:right w:val="none" w:sz="0" w:space="0" w:color="auto"/>
          </w:divBdr>
          <w:divsChild>
            <w:div w:id="2000495250">
              <w:marLeft w:val="0"/>
              <w:marRight w:val="0"/>
              <w:marTop w:val="0"/>
              <w:marBottom w:val="0"/>
              <w:divBdr>
                <w:top w:val="none" w:sz="0" w:space="0" w:color="auto"/>
                <w:left w:val="none" w:sz="0" w:space="0" w:color="auto"/>
                <w:bottom w:val="none" w:sz="0" w:space="0" w:color="auto"/>
                <w:right w:val="none" w:sz="0" w:space="0" w:color="auto"/>
              </w:divBdr>
              <w:divsChild>
                <w:div w:id="1955792382">
                  <w:marLeft w:val="0"/>
                  <w:marRight w:val="0"/>
                  <w:marTop w:val="0"/>
                  <w:marBottom w:val="0"/>
                  <w:divBdr>
                    <w:top w:val="none" w:sz="0" w:space="0" w:color="auto"/>
                    <w:left w:val="none" w:sz="0" w:space="0" w:color="auto"/>
                    <w:bottom w:val="none" w:sz="0" w:space="0" w:color="auto"/>
                    <w:right w:val="none" w:sz="0" w:space="0" w:color="auto"/>
                  </w:divBdr>
                  <w:divsChild>
                    <w:div w:id="1138885542">
                      <w:marLeft w:val="100"/>
                      <w:marRight w:val="0"/>
                      <w:marTop w:val="0"/>
                      <w:marBottom w:val="0"/>
                      <w:divBdr>
                        <w:top w:val="none" w:sz="0" w:space="0" w:color="auto"/>
                        <w:left w:val="none" w:sz="0" w:space="0" w:color="auto"/>
                        <w:bottom w:val="none" w:sz="0" w:space="0" w:color="auto"/>
                        <w:right w:val="none" w:sz="0" w:space="0" w:color="auto"/>
                      </w:divBdr>
                      <w:divsChild>
                        <w:div w:id="222107668">
                          <w:marLeft w:val="0"/>
                          <w:marRight w:val="0"/>
                          <w:marTop w:val="0"/>
                          <w:marBottom w:val="100"/>
                          <w:divBdr>
                            <w:top w:val="none" w:sz="0" w:space="0" w:color="auto"/>
                            <w:left w:val="none" w:sz="0" w:space="0" w:color="auto"/>
                            <w:bottom w:val="none" w:sz="0" w:space="0" w:color="auto"/>
                            <w:right w:val="none" w:sz="0" w:space="0" w:color="auto"/>
                          </w:divBdr>
                          <w:divsChild>
                            <w:div w:id="158159531">
                              <w:marLeft w:val="0"/>
                              <w:marRight w:val="0"/>
                              <w:marTop w:val="0"/>
                              <w:marBottom w:val="0"/>
                              <w:divBdr>
                                <w:top w:val="none" w:sz="0" w:space="0" w:color="auto"/>
                                <w:left w:val="none" w:sz="0" w:space="0" w:color="auto"/>
                                <w:bottom w:val="none" w:sz="0" w:space="0" w:color="auto"/>
                                <w:right w:val="none" w:sz="0" w:space="0" w:color="auto"/>
                              </w:divBdr>
                              <w:divsChild>
                                <w:div w:id="1698002535">
                                  <w:marLeft w:val="0"/>
                                  <w:marRight w:val="0"/>
                                  <w:marTop w:val="0"/>
                                  <w:marBottom w:val="0"/>
                                  <w:divBdr>
                                    <w:top w:val="none" w:sz="0" w:space="0" w:color="auto"/>
                                    <w:left w:val="none" w:sz="0" w:space="0" w:color="auto"/>
                                    <w:bottom w:val="none" w:sz="0" w:space="0" w:color="auto"/>
                                    <w:right w:val="none" w:sz="0" w:space="0" w:color="auto"/>
                                  </w:divBdr>
                                  <w:divsChild>
                                    <w:div w:id="10980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201151">
      <w:bodyDiv w:val="1"/>
      <w:marLeft w:val="0"/>
      <w:marRight w:val="0"/>
      <w:marTop w:val="0"/>
      <w:marBottom w:val="0"/>
      <w:divBdr>
        <w:top w:val="none" w:sz="0" w:space="0" w:color="auto"/>
        <w:left w:val="none" w:sz="0" w:space="0" w:color="auto"/>
        <w:bottom w:val="none" w:sz="0" w:space="0" w:color="auto"/>
        <w:right w:val="none" w:sz="0" w:space="0" w:color="auto"/>
      </w:divBdr>
      <w:divsChild>
        <w:div w:id="523061265">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96726218">
      <w:bodyDiv w:val="1"/>
      <w:marLeft w:val="0"/>
      <w:marRight w:val="0"/>
      <w:marTop w:val="0"/>
      <w:marBottom w:val="0"/>
      <w:divBdr>
        <w:top w:val="none" w:sz="0" w:space="0" w:color="auto"/>
        <w:left w:val="none" w:sz="0" w:space="0" w:color="auto"/>
        <w:bottom w:val="none" w:sz="0" w:space="0" w:color="auto"/>
        <w:right w:val="none" w:sz="0" w:space="0" w:color="auto"/>
      </w:divBdr>
      <w:divsChild>
        <w:div w:id="1026903451">
          <w:marLeft w:val="0"/>
          <w:marRight w:val="0"/>
          <w:marTop w:val="0"/>
          <w:marBottom w:val="0"/>
          <w:divBdr>
            <w:top w:val="none" w:sz="0" w:space="0" w:color="auto"/>
            <w:left w:val="none" w:sz="0" w:space="0" w:color="auto"/>
            <w:bottom w:val="none" w:sz="0" w:space="0" w:color="auto"/>
            <w:right w:val="none" w:sz="0" w:space="0" w:color="auto"/>
          </w:divBdr>
          <w:divsChild>
            <w:div w:id="352539178">
              <w:marLeft w:val="0"/>
              <w:marRight w:val="0"/>
              <w:marTop w:val="0"/>
              <w:marBottom w:val="0"/>
              <w:divBdr>
                <w:top w:val="none" w:sz="0" w:space="0" w:color="auto"/>
                <w:left w:val="none" w:sz="0" w:space="0" w:color="auto"/>
                <w:bottom w:val="none" w:sz="0" w:space="0" w:color="auto"/>
                <w:right w:val="none" w:sz="0" w:space="0" w:color="auto"/>
              </w:divBdr>
              <w:divsChild>
                <w:div w:id="473647960">
                  <w:marLeft w:val="0"/>
                  <w:marRight w:val="0"/>
                  <w:marTop w:val="0"/>
                  <w:marBottom w:val="6431"/>
                  <w:divBdr>
                    <w:top w:val="none" w:sz="0" w:space="0" w:color="auto"/>
                    <w:left w:val="none" w:sz="0" w:space="0" w:color="auto"/>
                    <w:bottom w:val="none" w:sz="0" w:space="0" w:color="auto"/>
                    <w:right w:val="none" w:sz="0" w:space="0" w:color="auto"/>
                  </w:divBdr>
                  <w:divsChild>
                    <w:div w:id="2008630778">
                      <w:marLeft w:val="0"/>
                      <w:marRight w:val="0"/>
                      <w:marTop w:val="0"/>
                      <w:marBottom w:val="0"/>
                      <w:divBdr>
                        <w:top w:val="none" w:sz="0" w:space="0" w:color="auto"/>
                        <w:left w:val="none" w:sz="0" w:space="0" w:color="auto"/>
                        <w:bottom w:val="none" w:sz="0" w:space="0" w:color="auto"/>
                        <w:right w:val="none" w:sz="0" w:space="0" w:color="auto"/>
                      </w:divBdr>
                      <w:divsChild>
                        <w:div w:id="1359313231">
                          <w:marLeft w:val="0"/>
                          <w:marRight w:val="0"/>
                          <w:marTop w:val="0"/>
                          <w:marBottom w:val="0"/>
                          <w:divBdr>
                            <w:top w:val="none" w:sz="0" w:space="0" w:color="auto"/>
                            <w:left w:val="none" w:sz="0" w:space="0" w:color="auto"/>
                            <w:bottom w:val="none" w:sz="0" w:space="0" w:color="auto"/>
                            <w:right w:val="none" w:sz="0" w:space="0" w:color="auto"/>
                          </w:divBdr>
                          <w:divsChild>
                            <w:div w:id="2997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826401">
      <w:bodyDiv w:val="1"/>
      <w:marLeft w:val="0"/>
      <w:marRight w:val="0"/>
      <w:marTop w:val="0"/>
      <w:marBottom w:val="0"/>
      <w:divBdr>
        <w:top w:val="none" w:sz="0" w:space="0" w:color="auto"/>
        <w:left w:val="none" w:sz="0" w:space="0" w:color="auto"/>
        <w:bottom w:val="none" w:sz="0" w:space="0" w:color="auto"/>
        <w:right w:val="none" w:sz="0" w:space="0" w:color="auto"/>
      </w:divBdr>
      <w:divsChild>
        <w:div w:id="1630934427">
          <w:marLeft w:val="0"/>
          <w:marRight w:val="0"/>
          <w:marTop w:val="0"/>
          <w:marBottom w:val="0"/>
          <w:divBdr>
            <w:top w:val="none" w:sz="0" w:space="0" w:color="auto"/>
            <w:left w:val="none" w:sz="0" w:space="0" w:color="auto"/>
            <w:bottom w:val="none" w:sz="0" w:space="0" w:color="auto"/>
            <w:right w:val="none" w:sz="0" w:space="0" w:color="auto"/>
          </w:divBdr>
          <w:divsChild>
            <w:div w:id="308873446">
              <w:marLeft w:val="0"/>
              <w:marRight w:val="0"/>
              <w:marTop w:val="0"/>
              <w:marBottom w:val="0"/>
              <w:divBdr>
                <w:top w:val="none" w:sz="0" w:space="0" w:color="auto"/>
                <w:left w:val="none" w:sz="0" w:space="0" w:color="auto"/>
                <w:bottom w:val="none" w:sz="0" w:space="0" w:color="auto"/>
                <w:right w:val="none" w:sz="0" w:space="0" w:color="auto"/>
              </w:divBdr>
              <w:divsChild>
                <w:div w:id="267397477">
                  <w:marLeft w:val="0"/>
                  <w:marRight w:val="0"/>
                  <w:marTop w:val="0"/>
                  <w:marBottom w:val="0"/>
                  <w:divBdr>
                    <w:top w:val="none" w:sz="0" w:space="0" w:color="auto"/>
                    <w:left w:val="none" w:sz="0" w:space="0" w:color="auto"/>
                    <w:bottom w:val="none" w:sz="0" w:space="0" w:color="auto"/>
                    <w:right w:val="none" w:sz="0" w:space="0" w:color="auto"/>
                  </w:divBdr>
                  <w:divsChild>
                    <w:div w:id="5211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5158">
      <w:bodyDiv w:val="1"/>
      <w:marLeft w:val="0"/>
      <w:marRight w:val="0"/>
      <w:marTop w:val="0"/>
      <w:marBottom w:val="0"/>
      <w:divBdr>
        <w:top w:val="none" w:sz="0" w:space="0" w:color="auto"/>
        <w:left w:val="none" w:sz="0" w:space="0" w:color="auto"/>
        <w:bottom w:val="none" w:sz="0" w:space="0" w:color="auto"/>
        <w:right w:val="none" w:sz="0" w:space="0" w:color="auto"/>
      </w:divBdr>
      <w:divsChild>
        <w:div w:id="423646260">
          <w:marLeft w:val="0"/>
          <w:marRight w:val="0"/>
          <w:marTop w:val="0"/>
          <w:marBottom w:val="0"/>
          <w:divBdr>
            <w:top w:val="none" w:sz="0" w:space="0" w:color="auto"/>
            <w:left w:val="none" w:sz="0" w:space="0" w:color="auto"/>
            <w:bottom w:val="none" w:sz="0" w:space="0" w:color="auto"/>
            <w:right w:val="none" w:sz="0" w:space="0" w:color="auto"/>
          </w:divBdr>
          <w:divsChild>
            <w:div w:id="1765491854">
              <w:marLeft w:val="0"/>
              <w:marRight w:val="0"/>
              <w:marTop w:val="0"/>
              <w:marBottom w:val="0"/>
              <w:divBdr>
                <w:top w:val="none" w:sz="0" w:space="0" w:color="auto"/>
                <w:left w:val="none" w:sz="0" w:space="0" w:color="auto"/>
                <w:bottom w:val="none" w:sz="0" w:space="0" w:color="auto"/>
                <w:right w:val="none" w:sz="0" w:space="0" w:color="auto"/>
              </w:divBdr>
              <w:divsChild>
                <w:div w:id="806822200">
                  <w:marLeft w:val="0"/>
                  <w:marRight w:val="0"/>
                  <w:marTop w:val="0"/>
                  <w:marBottom w:val="0"/>
                  <w:divBdr>
                    <w:top w:val="none" w:sz="0" w:space="0" w:color="auto"/>
                    <w:left w:val="none" w:sz="0" w:space="0" w:color="auto"/>
                    <w:bottom w:val="none" w:sz="0" w:space="0" w:color="auto"/>
                    <w:right w:val="none" w:sz="0" w:space="0" w:color="auto"/>
                  </w:divBdr>
                  <w:divsChild>
                    <w:div w:id="1880774990">
                      <w:marLeft w:val="0"/>
                      <w:marRight w:val="0"/>
                      <w:marTop w:val="0"/>
                      <w:marBottom w:val="0"/>
                      <w:divBdr>
                        <w:top w:val="none" w:sz="0" w:space="0" w:color="auto"/>
                        <w:left w:val="none" w:sz="0" w:space="0" w:color="auto"/>
                        <w:bottom w:val="none" w:sz="0" w:space="0" w:color="auto"/>
                        <w:right w:val="none" w:sz="0" w:space="0" w:color="auto"/>
                      </w:divBdr>
                      <w:divsChild>
                        <w:div w:id="6804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33981">
      <w:bodyDiv w:val="1"/>
      <w:marLeft w:val="0"/>
      <w:marRight w:val="0"/>
      <w:marTop w:val="0"/>
      <w:marBottom w:val="0"/>
      <w:divBdr>
        <w:top w:val="none" w:sz="0" w:space="0" w:color="auto"/>
        <w:left w:val="none" w:sz="0" w:space="0" w:color="auto"/>
        <w:bottom w:val="none" w:sz="0" w:space="0" w:color="auto"/>
        <w:right w:val="none" w:sz="0" w:space="0" w:color="auto"/>
      </w:divBdr>
      <w:divsChild>
        <w:div w:id="846332507">
          <w:marLeft w:val="0"/>
          <w:marRight w:val="0"/>
          <w:marTop w:val="0"/>
          <w:marBottom w:val="0"/>
          <w:divBdr>
            <w:top w:val="none" w:sz="0" w:space="0" w:color="auto"/>
            <w:left w:val="none" w:sz="0" w:space="0" w:color="auto"/>
            <w:bottom w:val="none" w:sz="0" w:space="0" w:color="auto"/>
            <w:right w:val="none" w:sz="0" w:space="0" w:color="auto"/>
          </w:divBdr>
          <w:divsChild>
            <w:div w:id="805397515">
              <w:marLeft w:val="0"/>
              <w:marRight w:val="0"/>
              <w:marTop w:val="0"/>
              <w:marBottom w:val="0"/>
              <w:divBdr>
                <w:top w:val="none" w:sz="0" w:space="0" w:color="auto"/>
                <w:left w:val="none" w:sz="0" w:space="0" w:color="auto"/>
                <w:bottom w:val="none" w:sz="0" w:space="0" w:color="auto"/>
                <w:right w:val="none" w:sz="0" w:space="0" w:color="auto"/>
              </w:divBdr>
              <w:divsChild>
                <w:div w:id="665792146">
                  <w:marLeft w:val="0"/>
                  <w:marRight w:val="0"/>
                  <w:marTop w:val="0"/>
                  <w:marBottom w:val="0"/>
                  <w:divBdr>
                    <w:top w:val="none" w:sz="0" w:space="0" w:color="auto"/>
                    <w:left w:val="none" w:sz="0" w:space="0" w:color="auto"/>
                    <w:bottom w:val="none" w:sz="0" w:space="0" w:color="auto"/>
                    <w:right w:val="none" w:sz="0" w:space="0" w:color="auto"/>
                  </w:divBdr>
                  <w:divsChild>
                    <w:div w:id="78448635">
                      <w:marLeft w:val="0"/>
                      <w:marRight w:val="0"/>
                      <w:marTop w:val="0"/>
                      <w:marBottom w:val="0"/>
                      <w:divBdr>
                        <w:top w:val="none" w:sz="0" w:space="0" w:color="auto"/>
                        <w:left w:val="none" w:sz="0" w:space="0" w:color="auto"/>
                        <w:bottom w:val="none" w:sz="0" w:space="0" w:color="auto"/>
                        <w:right w:val="none" w:sz="0" w:space="0" w:color="auto"/>
                      </w:divBdr>
                      <w:divsChild>
                        <w:div w:id="1312101894">
                          <w:marLeft w:val="0"/>
                          <w:marRight w:val="0"/>
                          <w:marTop w:val="0"/>
                          <w:marBottom w:val="0"/>
                          <w:divBdr>
                            <w:top w:val="none" w:sz="0" w:space="0" w:color="auto"/>
                            <w:left w:val="none" w:sz="0" w:space="0" w:color="auto"/>
                            <w:bottom w:val="none" w:sz="0" w:space="0" w:color="auto"/>
                            <w:right w:val="none" w:sz="0" w:space="0" w:color="auto"/>
                          </w:divBdr>
                          <w:divsChild>
                            <w:div w:id="18707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052973">
      <w:bodyDiv w:val="1"/>
      <w:marLeft w:val="0"/>
      <w:marRight w:val="0"/>
      <w:marTop w:val="0"/>
      <w:marBottom w:val="0"/>
      <w:divBdr>
        <w:top w:val="none" w:sz="0" w:space="0" w:color="auto"/>
        <w:left w:val="none" w:sz="0" w:space="0" w:color="auto"/>
        <w:bottom w:val="none" w:sz="0" w:space="0" w:color="auto"/>
        <w:right w:val="none" w:sz="0" w:space="0" w:color="auto"/>
      </w:divBdr>
      <w:divsChild>
        <w:div w:id="1820808731">
          <w:marLeft w:val="0"/>
          <w:marRight w:val="0"/>
          <w:marTop w:val="0"/>
          <w:marBottom w:val="0"/>
          <w:divBdr>
            <w:top w:val="none" w:sz="0" w:space="0" w:color="auto"/>
            <w:left w:val="none" w:sz="0" w:space="0" w:color="auto"/>
            <w:bottom w:val="none" w:sz="0" w:space="0" w:color="auto"/>
            <w:right w:val="none" w:sz="0" w:space="0" w:color="auto"/>
          </w:divBdr>
          <w:divsChild>
            <w:div w:id="882446190">
              <w:marLeft w:val="0"/>
              <w:marRight w:val="0"/>
              <w:marTop w:val="0"/>
              <w:marBottom w:val="0"/>
              <w:divBdr>
                <w:top w:val="none" w:sz="0" w:space="0" w:color="auto"/>
                <w:left w:val="none" w:sz="0" w:space="0" w:color="auto"/>
                <w:bottom w:val="none" w:sz="0" w:space="0" w:color="auto"/>
                <w:right w:val="none" w:sz="0" w:space="0" w:color="auto"/>
              </w:divBdr>
              <w:divsChild>
                <w:div w:id="1218735797">
                  <w:marLeft w:val="0"/>
                  <w:marRight w:val="0"/>
                  <w:marTop w:val="0"/>
                  <w:marBottom w:val="0"/>
                  <w:divBdr>
                    <w:top w:val="none" w:sz="0" w:space="0" w:color="auto"/>
                    <w:left w:val="none" w:sz="0" w:space="0" w:color="auto"/>
                    <w:bottom w:val="none" w:sz="0" w:space="0" w:color="auto"/>
                    <w:right w:val="none" w:sz="0" w:space="0" w:color="auto"/>
                  </w:divBdr>
                  <w:divsChild>
                    <w:div w:id="120618351">
                      <w:marLeft w:val="0"/>
                      <w:marRight w:val="0"/>
                      <w:marTop w:val="0"/>
                      <w:marBottom w:val="0"/>
                      <w:divBdr>
                        <w:top w:val="none" w:sz="0" w:space="0" w:color="auto"/>
                        <w:left w:val="none" w:sz="0" w:space="0" w:color="auto"/>
                        <w:bottom w:val="none" w:sz="0" w:space="0" w:color="auto"/>
                        <w:right w:val="none" w:sz="0" w:space="0" w:color="auto"/>
                      </w:divBdr>
                      <w:divsChild>
                        <w:div w:id="2842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930755">
      <w:bodyDiv w:val="1"/>
      <w:marLeft w:val="0"/>
      <w:marRight w:val="0"/>
      <w:marTop w:val="0"/>
      <w:marBottom w:val="0"/>
      <w:divBdr>
        <w:top w:val="none" w:sz="0" w:space="0" w:color="auto"/>
        <w:left w:val="none" w:sz="0" w:space="0" w:color="auto"/>
        <w:bottom w:val="none" w:sz="0" w:space="0" w:color="auto"/>
        <w:right w:val="none" w:sz="0" w:space="0" w:color="auto"/>
      </w:divBdr>
      <w:divsChild>
        <w:div w:id="1475291155">
          <w:marLeft w:val="0"/>
          <w:marRight w:val="0"/>
          <w:marTop w:val="0"/>
          <w:marBottom w:val="0"/>
          <w:divBdr>
            <w:top w:val="none" w:sz="0" w:space="0" w:color="auto"/>
            <w:left w:val="none" w:sz="0" w:space="0" w:color="auto"/>
            <w:bottom w:val="none" w:sz="0" w:space="0" w:color="auto"/>
            <w:right w:val="none" w:sz="0" w:space="0" w:color="auto"/>
          </w:divBdr>
          <w:divsChild>
            <w:div w:id="2081245895">
              <w:marLeft w:val="0"/>
              <w:marRight w:val="0"/>
              <w:marTop w:val="100"/>
              <w:marBottom w:val="0"/>
              <w:divBdr>
                <w:top w:val="none" w:sz="0" w:space="0" w:color="auto"/>
                <w:left w:val="none" w:sz="0" w:space="0" w:color="auto"/>
                <w:bottom w:val="none" w:sz="0" w:space="0" w:color="auto"/>
                <w:right w:val="none" w:sz="0" w:space="0" w:color="auto"/>
              </w:divBdr>
              <w:divsChild>
                <w:div w:id="656803126">
                  <w:marLeft w:val="0"/>
                  <w:marRight w:val="0"/>
                  <w:marTop w:val="0"/>
                  <w:marBottom w:val="0"/>
                  <w:divBdr>
                    <w:top w:val="none" w:sz="0" w:space="0" w:color="auto"/>
                    <w:left w:val="none" w:sz="0" w:space="0" w:color="auto"/>
                    <w:bottom w:val="single" w:sz="4" w:space="0" w:color="C8C8C8"/>
                    <w:right w:val="none" w:sz="0" w:space="0" w:color="auto"/>
                  </w:divBdr>
                </w:div>
              </w:divsChild>
            </w:div>
          </w:divsChild>
        </w:div>
      </w:divsChild>
    </w:div>
    <w:div w:id="1697122413">
      <w:bodyDiv w:val="1"/>
      <w:marLeft w:val="0"/>
      <w:marRight w:val="0"/>
      <w:marTop w:val="0"/>
      <w:marBottom w:val="0"/>
      <w:divBdr>
        <w:top w:val="none" w:sz="0" w:space="0" w:color="auto"/>
        <w:left w:val="none" w:sz="0" w:space="0" w:color="auto"/>
        <w:bottom w:val="none" w:sz="0" w:space="0" w:color="auto"/>
        <w:right w:val="none" w:sz="0" w:space="0" w:color="auto"/>
      </w:divBdr>
      <w:divsChild>
        <w:div w:id="40326702">
          <w:marLeft w:val="0"/>
          <w:marRight w:val="0"/>
          <w:marTop w:val="0"/>
          <w:marBottom w:val="0"/>
          <w:divBdr>
            <w:top w:val="none" w:sz="0" w:space="0" w:color="auto"/>
            <w:left w:val="none" w:sz="0" w:space="0" w:color="auto"/>
            <w:bottom w:val="none" w:sz="0" w:space="0" w:color="auto"/>
            <w:right w:val="none" w:sz="0" w:space="0" w:color="auto"/>
          </w:divBdr>
        </w:div>
        <w:div w:id="57048932">
          <w:marLeft w:val="0"/>
          <w:marRight w:val="0"/>
          <w:marTop w:val="0"/>
          <w:marBottom w:val="0"/>
          <w:divBdr>
            <w:top w:val="none" w:sz="0" w:space="0" w:color="auto"/>
            <w:left w:val="none" w:sz="0" w:space="0" w:color="auto"/>
            <w:bottom w:val="none" w:sz="0" w:space="0" w:color="auto"/>
            <w:right w:val="none" w:sz="0" w:space="0" w:color="auto"/>
          </w:divBdr>
        </w:div>
        <w:div w:id="189728566">
          <w:marLeft w:val="0"/>
          <w:marRight w:val="0"/>
          <w:marTop w:val="0"/>
          <w:marBottom w:val="0"/>
          <w:divBdr>
            <w:top w:val="none" w:sz="0" w:space="0" w:color="auto"/>
            <w:left w:val="none" w:sz="0" w:space="0" w:color="auto"/>
            <w:bottom w:val="none" w:sz="0" w:space="0" w:color="auto"/>
            <w:right w:val="none" w:sz="0" w:space="0" w:color="auto"/>
          </w:divBdr>
        </w:div>
        <w:div w:id="367876263">
          <w:marLeft w:val="0"/>
          <w:marRight w:val="0"/>
          <w:marTop w:val="0"/>
          <w:marBottom w:val="0"/>
          <w:divBdr>
            <w:top w:val="none" w:sz="0" w:space="0" w:color="auto"/>
            <w:left w:val="none" w:sz="0" w:space="0" w:color="auto"/>
            <w:bottom w:val="none" w:sz="0" w:space="0" w:color="auto"/>
            <w:right w:val="none" w:sz="0" w:space="0" w:color="auto"/>
          </w:divBdr>
        </w:div>
        <w:div w:id="404424157">
          <w:marLeft w:val="0"/>
          <w:marRight w:val="0"/>
          <w:marTop w:val="0"/>
          <w:marBottom w:val="0"/>
          <w:divBdr>
            <w:top w:val="none" w:sz="0" w:space="0" w:color="auto"/>
            <w:left w:val="none" w:sz="0" w:space="0" w:color="auto"/>
            <w:bottom w:val="none" w:sz="0" w:space="0" w:color="auto"/>
            <w:right w:val="none" w:sz="0" w:space="0" w:color="auto"/>
          </w:divBdr>
        </w:div>
        <w:div w:id="642779885">
          <w:marLeft w:val="0"/>
          <w:marRight w:val="0"/>
          <w:marTop w:val="0"/>
          <w:marBottom w:val="0"/>
          <w:divBdr>
            <w:top w:val="none" w:sz="0" w:space="0" w:color="auto"/>
            <w:left w:val="none" w:sz="0" w:space="0" w:color="auto"/>
            <w:bottom w:val="none" w:sz="0" w:space="0" w:color="auto"/>
            <w:right w:val="none" w:sz="0" w:space="0" w:color="auto"/>
          </w:divBdr>
        </w:div>
        <w:div w:id="675693825">
          <w:marLeft w:val="0"/>
          <w:marRight w:val="0"/>
          <w:marTop w:val="0"/>
          <w:marBottom w:val="0"/>
          <w:divBdr>
            <w:top w:val="none" w:sz="0" w:space="0" w:color="auto"/>
            <w:left w:val="none" w:sz="0" w:space="0" w:color="auto"/>
            <w:bottom w:val="none" w:sz="0" w:space="0" w:color="auto"/>
            <w:right w:val="none" w:sz="0" w:space="0" w:color="auto"/>
          </w:divBdr>
        </w:div>
        <w:div w:id="762260070">
          <w:marLeft w:val="0"/>
          <w:marRight w:val="0"/>
          <w:marTop w:val="0"/>
          <w:marBottom w:val="0"/>
          <w:divBdr>
            <w:top w:val="none" w:sz="0" w:space="0" w:color="auto"/>
            <w:left w:val="none" w:sz="0" w:space="0" w:color="auto"/>
            <w:bottom w:val="none" w:sz="0" w:space="0" w:color="auto"/>
            <w:right w:val="none" w:sz="0" w:space="0" w:color="auto"/>
          </w:divBdr>
        </w:div>
        <w:div w:id="802425733">
          <w:marLeft w:val="0"/>
          <w:marRight w:val="0"/>
          <w:marTop w:val="0"/>
          <w:marBottom w:val="0"/>
          <w:divBdr>
            <w:top w:val="none" w:sz="0" w:space="0" w:color="auto"/>
            <w:left w:val="none" w:sz="0" w:space="0" w:color="auto"/>
            <w:bottom w:val="none" w:sz="0" w:space="0" w:color="auto"/>
            <w:right w:val="none" w:sz="0" w:space="0" w:color="auto"/>
          </w:divBdr>
        </w:div>
        <w:div w:id="838499042">
          <w:marLeft w:val="0"/>
          <w:marRight w:val="0"/>
          <w:marTop w:val="0"/>
          <w:marBottom w:val="0"/>
          <w:divBdr>
            <w:top w:val="none" w:sz="0" w:space="0" w:color="auto"/>
            <w:left w:val="none" w:sz="0" w:space="0" w:color="auto"/>
            <w:bottom w:val="none" w:sz="0" w:space="0" w:color="auto"/>
            <w:right w:val="none" w:sz="0" w:space="0" w:color="auto"/>
          </w:divBdr>
        </w:div>
        <w:div w:id="863056446">
          <w:marLeft w:val="0"/>
          <w:marRight w:val="0"/>
          <w:marTop w:val="0"/>
          <w:marBottom w:val="0"/>
          <w:divBdr>
            <w:top w:val="none" w:sz="0" w:space="0" w:color="auto"/>
            <w:left w:val="none" w:sz="0" w:space="0" w:color="auto"/>
            <w:bottom w:val="none" w:sz="0" w:space="0" w:color="auto"/>
            <w:right w:val="none" w:sz="0" w:space="0" w:color="auto"/>
          </w:divBdr>
        </w:div>
        <w:div w:id="1210723267">
          <w:marLeft w:val="0"/>
          <w:marRight w:val="0"/>
          <w:marTop w:val="0"/>
          <w:marBottom w:val="0"/>
          <w:divBdr>
            <w:top w:val="none" w:sz="0" w:space="0" w:color="auto"/>
            <w:left w:val="none" w:sz="0" w:space="0" w:color="auto"/>
            <w:bottom w:val="none" w:sz="0" w:space="0" w:color="auto"/>
            <w:right w:val="none" w:sz="0" w:space="0" w:color="auto"/>
          </w:divBdr>
        </w:div>
        <w:div w:id="1295990629">
          <w:marLeft w:val="0"/>
          <w:marRight w:val="0"/>
          <w:marTop w:val="0"/>
          <w:marBottom w:val="0"/>
          <w:divBdr>
            <w:top w:val="none" w:sz="0" w:space="0" w:color="auto"/>
            <w:left w:val="none" w:sz="0" w:space="0" w:color="auto"/>
            <w:bottom w:val="none" w:sz="0" w:space="0" w:color="auto"/>
            <w:right w:val="none" w:sz="0" w:space="0" w:color="auto"/>
          </w:divBdr>
        </w:div>
        <w:div w:id="1405910151">
          <w:marLeft w:val="0"/>
          <w:marRight w:val="0"/>
          <w:marTop w:val="0"/>
          <w:marBottom w:val="0"/>
          <w:divBdr>
            <w:top w:val="none" w:sz="0" w:space="0" w:color="auto"/>
            <w:left w:val="none" w:sz="0" w:space="0" w:color="auto"/>
            <w:bottom w:val="none" w:sz="0" w:space="0" w:color="auto"/>
            <w:right w:val="none" w:sz="0" w:space="0" w:color="auto"/>
          </w:divBdr>
        </w:div>
        <w:div w:id="1676105417">
          <w:marLeft w:val="0"/>
          <w:marRight w:val="0"/>
          <w:marTop w:val="0"/>
          <w:marBottom w:val="0"/>
          <w:divBdr>
            <w:top w:val="none" w:sz="0" w:space="0" w:color="auto"/>
            <w:left w:val="none" w:sz="0" w:space="0" w:color="auto"/>
            <w:bottom w:val="none" w:sz="0" w:space="0" w:color="auto"/>
            <w:right w:val="none" w:sz="0" w:space="0" w:color="auto"/>
          </w:divBdr>
        </w:div>
        <w:div w:id="1717973548">
          <w:marLeft w:val="0"/>
          <w:marRight w:val="0"/>
          <w:marTop w:val="0"/>
          <w:marBottom w:val="0"/>
          <w:divBdr>
            <w:top w:val="none" w:sz="0" w:space="0" w:color="auto"/>
            <w:left w:val="none" w:sz="0" w:space="0" w:color="auto"/>
            <w:bottom w:val="none" w:sz="0" w:space="0" w:color="auto"/>
            <w:right w:val="none" w:sz="0" w:space="0" w:color="auto"/>
          </w:divBdr>
        </w:div>
        <w:div w:id="1828085868">
          <w:marLeft w:val="0"/>
          <w:marRight w:val="0"/>
          <w:marTop w:val="0"/>
          <w:marBottom w:val="0"/>
          <w:divBdr>
            <w:top w:val="none" w:sz="0" w:space="0" w:color="auto"/>
            <w:left w:val="none" w:sz="0" w:space="0" w:color="auto"/>
            <w:bottom w:val="none" w:sz="0" w:space="0" w:color="auto"/>
            <w:right w:val="none" w:sz="0" w:space="0" w:color="auto"/>
          </w:divBdr>
        </w:div>
        <w:div w:id="1884319721">
          <w:marLeft w:val="0"/>
          <w:marRight w:val="0"/>
          <w:marTop w:val="0"/>
          <w:marBottom w:val="0"/>
          <w:divBdr>
            <w:top w:val="none" w:sz="0" w:space="0" w:color="auto"/>
            <w:left w:val="none" w:sz="0" w:space="0" w:color="auto"/>
            <w:bottom w:val="none" w:sz="0" w:space="0" w:color="auto"/>
            <w:right w:val="none" w:sz="0" w:space="0" w:color="auto"/>
          </w:divBdr>
        </w:div>
        <w:div w:id="2103866237">
          <w:marLeft w:val="0"/>
          <w:marRight w:val="0"/>
          <w:marTop w:val="0"/>
          <w:marBottom w:val="0"/>
          <w:divBdr>
            <w:top w:val="none" w:sz="0" w:space="0" w:color="auto"/>
            <w:left w:val="none" w:sz="0" w:space="0" w:color="auto"/>
            <w:bottom w:val="none" w:sz="0" w:space="0" w:color="auto"/>
            <w:right w:val="none" w:sz="0" w:space="0" w:color="auto"/>
          </w:divBdr>
        </w:div>
      </w:divsChild>
    </w:div>
    <w:div w:id="1752312282">
      <w:bodyDiv w:val="1"/>
      <w:marLeft w:val="0"/>
      <w:marRight w:val="0"/>
      <w:marTop w:val="0"/>
      <w:marBottom w:val="0"/>
      <w:divBdr>
        <w:top w:val="none" w:sz="0" w:space="0" w:color="auto"/>
        <w:left w:val="none" w:sz="0" w:space="0" w:color="auto"/>
        <w:bottom w:val="none" w:sz="0" w:space="0" w:color="auto"/>
        <w:right w:val="none" w:sz="0" w:space="0" w:color="auto"/>
      </w:divBdr>
      <w:divsChild>
        <w:div w:id="1051687173">
          <w:marLeft w:val="0"/>
          <w:marRight w:val="0"/>
          <w:marTop w:val="0"/>
          <w:marBottom w:val="0"/>
          <w:divBdr>
            <w:top w:val="none" w:sz="0" w:space="0" w:color="auto"/>
            <w:left w:val="none" w:sz="0" w:space="0" w:color="auto"/>
            <w:bottom w:val="none" w:sz="0" w:space="0" w:color="auto"/>
            <w:right w:val="none" w:sz="0" w:space="0" w:color="auto"/>
          </w:divBdr>
          <w:divsChild>
            <w:div w:id="1724136967">
              <w:marLeft w:val="0"/>
              <w:marRight w:val="0"/>
              <w:marTop w:val="0"/>
              <w:marBottom w:val="0"/>
              <w:divBdr>
                <w:top w:val="none" w:sz="0" w:space="0" w:color="auto"/>
                <w:left w:val="none" w:sz="0" w:space="0" w:color="auto"/>
                <w:bottom w:val="none" w:sz="0" w:space="0" w:color="auto"/>
                <w:right w:val="none" w:sz="0" w:space="0" w:color="auto"/>
              </w:divBdr>
              <w:divsChild>
                <w:div w:id="1566063299">
                  <w:marLeft w:val="0"/>
                  <w:marRight w:val="0"/>
                  <w:marTop w:val="0"/>
                  <w:marBottom w:val="0"/>
                  <w:divBdr>
                    <w:top w:val="none" w:sz="0" w:space="0" w:color="auto"/>
                    <w:left w:val="none" w:sz="0" w:space="0" w:color="auto"/>
                    <w:bottom w:val="none" w:sz="0" w:space="0" w:color="auto"/>
                    <w:right w:val="none" w:sz="0" w:space="0" w:color="auto"/>
                  </w:divBdr>
                  <w:divsChild>
                    <w:div w:id="532500431">
                      <w:marLeft w:val="100"/>
                      <w:marRight w:val="0"/>
                      <w:marTop w:val="0"/>
                      <w:marBottom w:val="0"/>
                      <w:divBdr>
                        <w:top w:val="none" w:sz="0" w:space="0" w:color="auto"/>
                        <w:left w:val="none" w:sz="0" w:space="0" w:color="auto"/>
                        <w:bottom w:val="none" w:sz="0" w:space="0" w:color="auto"/>
                        <w:right w:val="none" w:sz="0" w:space="0" w:color="auto"/>
                      </w:divBdr>
                      <w:divsChild>
                        <w:div w:id="463043627">
                          <w:marLeft w:val="0"/>
                          <w:marRight w:val="0"/>
                          <w:marTop w:val="0"/>
                          <w:marBottom w:val="100"/>
                          <w:divBdr>
                            <w:top w:val="none" w:sz="0" w:space="0" w:color="auto"/>
                            <w:left w:val="none" w:sz="0" w:space="0" w:color="auto"/>
                            <w:bottom w:val="none" w:sz="0" w:space="0" w:color="auto"/>
                            <w:right w:val="none" w:sz="0" w:space="0" w:color="auto"/>
                          </w:divBdr>
                          <w:divsChild>
                            <w:div w:id="372198469">
                              <w:marLeft w:val="0"/>
                              <w:marRight w:val="0"/>
                              <w:marTop w:val="0"/>
                              <w:marBottom w:val="0"/>
                              <w:divBdr>
                                <w:top w:val="none" w:sz="0" w:space="0" w:color="auto"/>
                                <w:left w:val="none" w:sz="0" w:space="0" w:color="auto"/>
                                <w:bottom w:val="none" w:sz="0" w:space="0" w:color="auto"/>
                                <w:right w:val="none" w:sz="0" w:space="0" w:color="auto"/>
                              </w:divBdr>
                              <w:divsChild>
                                <w:div w:id="1258366185">
                                  <w:marLeft w:val="0"/>
                                  <w:marRight w:val="0"/>
                                  <w:marTop w:val="0"/>
                                  <w:marBottom w:val="0"/>
                                  <w:divBdr>
                                    <w:top w:val="none" w:sz="0" w:space="0" w:color="auto"/>
                                    <w:left w:val="none" w:sz="0" w:space="0" w:color="auto"/>
                                    <w:bottom w:val="none" w:sz="0" w:space="0" w:color="auto"/>
                                    <w:right w:val="none" w:sz="0" w:space="0" w:color="auto"/>
                                  </w:divBdr>
                                  <w:divsChild>
                                    <w:div w:id="698552056">
                                      <w:marLeft w:val="0"/>
                                      <w:marRight w:val="0"/>
                                      <w:marTop w:val="0"/>
                                      <w:marBottom w:val="0"/>
                                      <w:divBdr>
                                        <w:top w:val="none" w:sz="0" w:space="0" w:color="auto"/>
                                        <w:left w:val="none" w:sz="0" w:space="0" w:color="auto"/>
                                        <w:bottom w:val="none" w:sz="0" w:space="0" w:color="auto"/>
                                        <w:right w:val="none" w:sz="0" w:space="0" w:color="auto"/>
                                      </w:divBdr>
                                    </w:div>
                                    <w:div w:id="1047795227">
                                      <w:marLeft w:val="0"/>
                                      <w:marRight w:val="0"/>
                                      <w:marTop w:val="0"/>
                                      <w:marBottom w:val="0"/>
                                      <w:divBdr>
                                        <w:top w:val="none" w:sz="0" w:space="0" w:color="auto"/>
                                        <w:left w:val="none" w:sz="0" w:space="0" w:color="auto"/>
                                        <w:bottom w:val="none" w:sz="0" w:space="0" w:color="auto"/>
                                        <w:right w:val="none" w:sz="0" w:space="0" w:color="auto"/>
                                      </w:divBdr>
                                    </w:div>
                                    <w:div w:id="1429082835">
                                      <w:marLeft w:val="0"/>
                                      <w:marRight w:val="0"/>
                                      <w:marTop w:val="0"/>
                                      <w:marBottom w:val="0"/>
                                      <w:divBdr>
                                        <w:top w:val="none" w:sz="0" w:space="0" w:color="auto"/>
                                        <w:left w:val="none" w:sz="0" w:space="0" w:color="auto"/>
                                        <w:bottom w:val="none" w:sz="0" w:space="0" w:color="auto"/>
                                        <w:right w:val="none" w:sz="0" w:space="0" w:color="auto"/>
                                      </w:divBdr>
                                      <w:divsChild>
                                        <w:div w:id="10963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953705">
      <w:bodyDiv w:val="1"/>
      <w:marLeft w:val="0"/>
      <w:marRight w:val="0"/>
      <w:marTop w:val="0"/>
      <w:marBottom w:val="0"/>
      <w:divBdr>
        <w:top w:val="none" w:sz="0" w:space="0" w:color="auto"/>
        <w:left w:val="none" w:sz="0" w:space="0" w:color="auto"/>
        <w:bottom w:val="none" w:sz="0" w:space="0" w:color="auto"/>
        <w:right w:val="none" w:sz="0" w:space="0" w:color="auto"/>
      </w:divBdr>
      <w:divsChild>
        <w:div w:id="902910617">
          <w:marLeft w:val="0"/>
          <w:marRight w:val="0"/>
          <w:marTop w:val="0"/>
          <w:marBottom w:val="0"/>
          <w:divBdr>
            <w:top w:val="none" w:sz="0" w:space="0" w:color="auto"/>
            <w:left w:val="none" w:sz="0" w:space="0" w:color="auto"/>
            <w:bottom w:val="none" w:sz="0" w:space="0" w:color="auto"/>
            <w:right w:val="none" w:sz="0" w:space="0" w:color="auto"/>
          </w:divBdr>
          <w:divsChild>
            <w:div w:id="617758152">
              <w:marLeft w:val="0"/>
              <w:marRight w:val="0"/>
              <w:marTop w:val="100"/>
              <w:marBottom w:val="0"/>
              <w:divBdr>
                <w:top w:val="none" w:sz="0" w:space="0" w:color="auto"/>
                <w:left w:val="none" w:sz="0" w:space="0" w:color="auto"/>
                <w:bottom w:val="none" w:sz="0" w:space="0" w:color="auto"/>
                <w:right w:val="none" w:sz="0" w:space="0" w:color="auto"/>
              </w:divBdr>
              <w:divsChild>
                <w:div w:id="65223238">
                  <w:marLeft w:val="0"/>
                  <w:marRight w:val="0"/>
                  <w:marTop w:val="0"/>
                  <w:marBottom w:val="0"/>
                  <w:divBdr>
                    <w:top w:val="none" w:sz="0" w:space="0" w:color="auto"/>
                    <w:left w:val="none" w:sz="0" w:space="0" w:color="auto"/>
                    <w:bottom w:val="single" w:sz="4" w:space="0" w:color="C8C8C8"/>
                    <w:right w:val="none" w:sz="0" w:space="0" w:color="auto"/>
                  </w:divBdr>
                </w:div>
              </w:divsChild>
            </w:div>
          </w:divsChild>
        </w:div>
      </w:divsChild>
    </w:div>
    <w:div w:id="1822623563">
      <w:bodyDiv w:val="1"/>
      <w:marLeft w:val="0"/>
      <w:marRight w:val="0"/>
      <w:marTop w:val="0"/>
      <w:marBottom w:val="0"/>
      <w:divBdr>
        <w:top w:val="none" w:sz="0" w:space="0" w:color="auto"/>
        <w:left w:val="none" w:sz="0" w:space="0" w:color="auto"/>
        <w:bottom w:val="none" w:sz="0" w:space="0" w:color="auto"/>
        <w:right w:val="none" w:sz="0" w:space="0" w:color="auto"/>
      </w:divBdr>
      <w:divsChild>
        <w:div w:id="2137604300">
          <w:marLeft w:val="0"/>
          <w:marRight w:val="0"/>
          <w:marTop w:val="0"/>
          <w:marBottom w:val="0"/>
          <w:divBdr>
            <w:top w:val="none" w:sz="0" w:space="0" w:color="auto"/>
            <w:left w:val="none" w:sz="0" w:space="0" w:color="auto"/>
            <w:bottom w:val="none" w:sz="0" w:space="0" w:color="auto"/>
            <w:right w:val="none" w:sz="0" w:space="0" w:color="auto"/>
          </w:divBdr>
          <w:divsChild>
            <w:div w:id="314603738">
              <w:marLeft w:val="0"/>
              <w:marRight w:val="0"/>
              <w:marTop w:val="0"/>
              <w:marBottom w:val="0"/>
              <w:divBdr>
                <w:top w:val="none" w:sz="0" w:space="0" w:color="auto"/>
                <w:left w:val="none" w:sz="0" w:space="0" w:color="auto"/>
                <w:bottom w:val="none" w:sz="0" w:space="0" w:color="auto"/>
                <w:right w:val="single" w:sz="48" w:space="0" w:color="F8F8F8"/>
              </w:divBdr>
              <w:divsChild>
                <w:div w:id="11023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00839">
      <w:bodyDiv w:val="1"/>
      <w:marLeft w:val="0"/>
      <w:marRight w:val="0"/>
      <w:marTop w:val="0"/>
      <w:marBottom w:val="0"/>
      <w:divBdr>
        <w:top w:val="none" w:sz="0" w:space="0" w:color="auto"/>
        <w:left w:val="none" w:sz="0" w:space="0" w:color="auto"/>
        <w:bottom w:val="none" w:sz="0" w:space="0" w:color="auto"/>
        <w:right w:val="none" w:sz="0" w:space="0" w:color="auto"/>
      </w:divBdr>
      <w:divsChild>
        <w:div w:id="1766458668">
          <w:marLeft w:val="0"/>
          <w:marRight w:val="0"/>
          <w:marTop w:val="0"/>
          <w:marBottom w:val="200"/>
          <w:divBdr>
            <w:top w:val="none" w:sz="0" w:space="0" w:color="auto"/>
            <w:left w:val="none" w:sz="0" w:space="0" w:color="auto"/>
            <w:bottom w:val="none" w:sz="0" w:space="0" w:color="auto"/>
            <w:right w:val="none" w:sz="0" w:space="0" w:color="auto"/>
          </w:divBdr>
          <w:divsChild>
            <w:div w:id="1039404376">
              <w:marLeft w:val="0"/>
              <w:marRight w:val="0"/>
              <w:marTop w:val="0"/>
              <w:marBottom w:val="0"/>
              <w:divBdr>
                <w:top w:val="none" w:sz="0" w:space="0" w:color="auto"/>
                <w:left w:val="none" w:sz="0" w:space="0" w:color="auto"/>
                <w:bottom w:val="none" w:sz="0" w:space="0" w:color="auto"/>
                <w:right w:val="none" w:sz="0" w:space="0" w:color="auto"/>
              </w:divBdr>
              <w:divsChild>
                <w:div w:id="1272778878">
                  <w:marLeft w:val="0"/>
                  <w:marRight w:val="0"/>
                  <w:marTop w:val="0"/>
                  <w:marBottom w:val="0"/>
                  <w:divBdr>
                    <w:top w:val="none" w:sz="0" w:space="0" w:color="auto"/>
                    <w:left w:val="none" w:sz="0" w:space="0" w:color="auto"/>
                    <w:bottom w:val="none" w:sz="0" w:space="0" w:color="auto"/>
                    <w:right w:val="none" w:sz="0" w:space="0" w:color="auto"/>
                  </w:divBdr>
                  <w:divsChild>
                    <w:div w:id="7982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665529">
      <w:bodyDiv w:val="1"/>
      <w:marLeft w:val="0"/>
      <w:marRight w:val="0"/>
      <w:marTop w:val="0"/>
      <w:marBottom w:val="0"/>
      <w:divBdr>
        <w:top w:val="none" w:sz="0" w:space="0" w:color="auto"/>
        <w:left w:val="none" w:sz="0" w:space="0" w:color="auto"/>
        <w:bottom w:val="none" w:sz="0" w:space="0" w:color="auto"/>
        <w:right w:val="none" w:sz="0" w:space="0" w:color="auto"/>
      </w:divBdr>
      <w:divsChild>
        <w:div w:id="814882167">
          <w:marLeft w:val="0"/>
          <w:marRight w:val="0"/>
          <w:marTop w:val="0"/>
          <w:marBottom w:val="0"/>
          <w:divBdr>
            <w:top w:val="none" w:sz="0" w:space="0" w:color="auto"/>
            <w:left w:val="none" w:sz="0" w:space="0" w:color="auto"/>
            <w:bottom w:val="none" w:sz="0" w:space="0" w:color="auto"/>
            <w:right w:val="none" w:sz="0" w:space="0" w:color="auto"/>
          </w:divBdr>
          <w:divsChild>
            <w:div w:id="657656077">
              <w:marLeft w:val="0"/>
              <w:marRight w:val="0"/>
              <w:marTop w:val="100"/>
              <w:marBottom w:val="0"/>
              <w:divBdr>
                <w:top w:val="none" w:sz="0" w:space="0" w:color="auto"/>
                <w:left w:val="none" w:sz="0" w:space="0" w:color="auto"/>
                <w:bottom w:val="none" w:sz="0" w:space="0" w:color="auto"/>
                <w:right w:val="none" w:sz="0" w:space="0" w:color="auto"/>
              </w:divBdr>
              <w:divsChild>
                <w:div w:id="774251700">
                  <w:marLeft w:val="0"/>
                  <w:marRight w:val="0"/>
                  <w:marTop w:val="0"/>
                  <w:marBottom w:val="0"/>
                  <w:divBdr>
                    <w:top w:val="none" w:sz="0" w:space="0" w:color="auto"/>
                    <w:left w:val="none" w:sz="0" w:space="0" w:color="auto"/>
                    <w:bottom w:val="single" w:sz="4" w:space="0" w:color="C8C8C8"/>
                    <w:right w:val="none" w:sz="0" w:space="0" w:color="auto"/>
                  </w:divBdr>
                </w:div>
              </w:divsChild>
            </w:div>
          </w:divsChild>
        </w:div>
      </w:divsChild>
    </w:div>
    <w:div w:id="2040734785">
      <w:bodyDiv w:val="1"/>
      <w:marLeft w:val="0"/>
      <w:marRight w:val="0"/>
      <w:marTop w:val="0"/>
      <w:marBottom w:val="0"/>
      <w:divBdr>
        <w:top w:val="none" w:sz="0" w:space="0" w:color="auto"/>
        <w:left w:val="none" w:sz="0" w:space="0" w:color="auto"/>
        <w:bottom w:val="none" w:sz="0" w:space="0" w:color="auto"/>
        <w:right w:val="none" w:sz="0" w:space="0" w:color="auto"/>
      </w:divBdr>
      <w:divsChild>
        <w:div w:id="1882673174">
          <w:marLeft w:val="0"/>
          <w:marRight w:val="0"/>
          <w:marTop w:val="0"/>
          <w:marBottom w:val="0"/>
          <w:divBdr>
            <w:top w:val="none" w:sz="0" w:space="0" w:color="auto"/>
            <w:left w:val="none" w:sz="0" w:space="0" w:color="auto"/>
            <w:bottom w:val="none" w:sz="0" w:space="0" w:color="auto"/>
            <w:right w:val="none" w:sz="0" w:space="0" w:color="auto"/>
          </w:divBdr>
          <w:divsChild>
            <w:div w:id="1650935979">
              <w:marLeft w:val="0"/>
              <w:marRight w:val="0"/>
              <w:marTop w:val="0"/>
              <w:marBottom w:val="0"/>
              <w:divBdr>
                <w:top w:val="none" w:sz="0" w:space="0" w:color="auto"/>
                <w:left w:val="none" w:sz="0" w:space="0" w:color="auto"/>
                <w:bottom w:val="none" w:sz="0" w:space="0" w:color="auto"/>
                <w:right w:val="none" w:sz="0" w:space="0" w:color="auto"/>
              </w:divBdr>
              <w:divsChild>
                <w:div w:id="97142051">
                  <w:marLeft w:val="0"/>
                  <w:marRight w:val="0"/>
                  <w:marTop w:val="0"/>
                  <w:marBottom w:val="0"/>
                  <w:divBdr>
                    <w:top w:val="none" w:sz="0" w:space="0" w:color="auto"/>
                    <w:left w:val="none" w:sz="0" w:space="0" w:color="auto"/>
                    <w:bottom w:val="none" w:sz="0" w:space="0" w:color="auto"/>
                    <w:right w:val="none" w:sz="0" w:space="0" w:color="auto"/>
                  </w:divBdr>
                  <w:divsChild>
                    <w:div w:id="380397825">
                      <w:marLeft w:val="100"/>
                      <w:marRight w:val="0"/>
                      <w:marTop w:val="0"/>
                      <w:marBottom w:val="0"/>
                      <w:divBdr>
                        <w:top w:val="none" w:sz="0" w:space="0" w:color="auto"/>
                        <w:left w:val="none" w:sz="0" w:space="0" w:color="auto"/>
                        <w:bottom w:val="none" w:sz="0" w:space="0" w:color="auto"/>
                        <w:right w:val="none" w:sz="0" w:space="0" w:color="auto"/>
                      </w:divBdr>
                      <w:divsChild>
                        <w:div w:id="1365911218">
                          <w:marLeft w:val="0"/>
                          <w:marRight w:val="0"/>
                          <w:marTop w:val="0"/>
                          <w:marBottom w:val="100"/>
                          <w:divBdr>
                            <w:top w:val="none" w:sz="0" w:space="0" w:color="auto"/>
                            <w:left w:val="none" w:sz="0" w:space="0" w:color="auto"/>
                            <w:bottom w:val="none" w:sz="0" w:space="0" w:color="auto"/>
                            <w:right w:val="none" w:sz="0" w:space="0" w:color="auto"/>
                          </w:divBdr>
                          <w:divsChild>
                            <w:div w:id="1455369938">
                              <w:marLeft w:val="0"/>
                              <w:marRight w:val="0"/>
                              <w:marTop w:val="0"/>
                              <w:marBottom w:val="0"/>
                              <w:divBdr>
                                <w:top w:val="none" w:sz="0" w:space="0" w:color="auto"/>
                                <w:left w:val="none" w:sz="0" w:space="0" w:color="auto"/>
                                <w:bottom w:val="none" w:sz="0" w:space="0" w:color="auto"/>
                                <w:right w:val="none" w:sz="0" w:space="0" w:color="auto"/>
                              </w:divBdr>
                              <w:divsChild>
                                <w:div w:id="2134907791">
                                  <w:marLeft w:val="0"/>
                                  <w:marRight w:val="0"/>
                                  <w:marTop w:val="0"/>
                                  <w:marBottom w:val="0"/>
                                  <w:divBdr>
                                    <w:top w:val="none" w:sz="0" w:space="0" w:color="auto"/>
                                    <w:left w:val="none" w:sz="0" w:space="0" w:color="auto"/>
                                    <w:bottom w:val="none" w:sz="0" w:space="0" w:color="auto"/>
                                    <w:right w:val="none" w:sz="0" w:space="0" w:color="auto"/>
                                  </w:divBdr>
                                  <w:divsChild>
                                    <w:div w:id="929316451">
                                      <w:marLeft w:val="0"/>
                                      <w:marRight w:val="0"/>
                                      <w:marTop w:val="0"/>
                                      <w:marBottom w:val="0"/>
                                      <w:divBdr>
                                        <w:top w:val="none" w:sz="0" w:space="0" w:color="auto"/>
                                        <w:left w:val="none" w:sz="0" w:space="0" w:color="auto"/>
                                        <w:bottom w:val="none" w:sz="0" w:space="0" w:color="auto"/>
                                        <w:right w:val="none" w:sz="0" w:space="0" w:color="auto"/>
                                      </w:divBdr>
                                    </w:div>
                                    <w:div w:id="1523743934">
                                      <w:marLeft w:val="0"/>
                                      <w:marRight w:val="0"/>
                                      <w:marTop w:val="0"/>
                                      <w:marBottom w:val="0"/>
                                      <w:divBdr>
                                        <w:top w:val="none" w:sz="0" w:space="0" w:color="auto"/>
                                        <w:left w:val="none" w:sz="0" w:space="0" w:color="auto"/>
                                        <w:bottom w:val="none" w:sz="0" w:space="0" w:color="auto"/>
                                        <w:right w:val="none" w:sz="0" w:space="0" w:color="auto"/>
                                      </w:divBdr>
                                      <w:divsChild>
                                        <w:div w:id="1775246337">
                                          <w:marLeft w:val="0"/>
                                          <w:marRight w:val="0"/>
                                          <w:marTop w:val="0"/>
                                          <w:marBottom w:val="0"/>
                                          <w:divBdr>
                                            <w:top w:val="none" w:sz="0" w:space="0" w:color="auto"/>
                                            <w:left w:val="none" w:sz="0" w:space="0" w:color="auto"/>
                                            <w:bottom w:val="none" w:sz="0" w:space="0" w:color="auto"/>
                                            <w:right w:val="none" w:sz="0" w:space="0" w:color="auto"/>
                                          </w:divBdr>
                                        </w:div>
                                      </w:divsChild>
                                    </w:div>
                                    <w:div w:id="17825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637296">
      <w:bodyDiv w:val="1"/>
      <w:marLeft w:val="0"/>
      <w:marRight w:val="0"/>
      <w:marTop w:val="0"/>
      <w:marBottom w:val="0"/>
      <w:divBdr>
        <w:top w:val="none" w:sz="0" w:space="0" w:color="auto"/>
        <w:left w:val="none" w:sz="0" w:space="0" w:color="auto"/>
        <w:bottom w:val="none" w:sz="0" w:space="0" w:color="auto"/>
        <w:right w:val="none" w:sz="0" w:space="0" w:color="auto"/>
      </w:divBdr>
      <w:divsChild>
        <w:div w:id="592278062">
          <w:marLeft w:val="0"/>
          <w:marRight w:val="0"/>
          <w:marTop w:val="0"/>
          <w:marBottom w:val="0"/>
          <w:divBdr>
            <w:top w:val="none" w:sz="0" w:space="0" w:color="auto"/>
            <w:left w:val="none" w:sz="0" w:space="0" w:color="auto"/>
            <w:bottom w:val="none" w:sz="0" w:space="0" w:color="auto"/>
            <w:right w:val="none" w:sz="0" w:space="0" w:color="auto"/>
          </w:divBdr>
          <w:divsChild>
            <w:div w:id="1385057386">
              <w:marLeft w:val="0"/>
              <w:marRight w:val="0"/>
              <w:marTop w:val="0"/>
              <w:marBottom w:val="0"/>
              <w:divBdr>
                <w:top w:val="none" w:sz="0" w:space="0" w:color="auto"/>
                <w:left w:val="none" w:sz="0" w:space="0" w:color="auto"/>
                <w:bottom w:val="none" w:sz="0" w:space="0" w:color="auto"/>
                <w:right w:val="none" w:sz="0" w:space="0" w:color="auto"/>
              </w:divBdr>
              <w:divsChild>
                <w:div w:id="657810848">
                  <w:marLeft w:val="0"/>
                  <w:marRight w:val="0"/>
                  <w:marTop w:val="0"/>
                  <w:marBottom w:val="0"/>
                  <w:divBdr>
                    <w:top w:val="none" w:sz="0" w:space="0" w:color="auto"/>
                    <w:left w:val="none" w:sz="0" w:space="0" w:color="auto"/>
                    <w:bottom w:val="none" w:sz="0" w:space="0" w:color="auto"/>
                    <w:right w:val="none" w:sz="0" w:space="0" w:color="auto"/>
                  </w:divBdr>
                  <w:divsChild>
                    <w:div w:id="2124231721">
                      <w:marLeft w:val="0"/>
                      <w:marRight w:val="0"/>
                      <w:marTop w:val="0"/>
                      <w:marBottom w:val="0"/>
                      <w:divBdr>
                        <w:top w:val="none" w:sz="0" w:space="0" w:color="auto"/>
                        <w:left w:val="none" w:sz="0" w:space="0" w:color="auto"/>
                        <w:bottom w:val="none" w:sz="0" w:space="0" w:color="auto"/>
                        <w:right w:val="none" w:sz="0" w:space="0" w:color="auto"/>
                      </w:divBdr>
                      <w:divsChild>
                        <w:div w:id="59865423">
                          <w:marLeft w:val="0"/>
                          <w:marRight w:val="0"/>
                          <w:marTop w:val="0"/>
                          <w:marBottom w:val="0"/>
                          <w:divBdr>
                            <w:top w:val="none" w:sz="0" w:space="0" w:color="auto"/>
                            <w:left w:val="none" w:sz="0" w:space="0" w:color="auto"/>
                            <w:bottom w:val="none" w:sz="0" w:space="0" w:color="auto"/>
                            <w:right w:val="none" w:sz="0" w:space="0" w:color="auto"/>
                          </w:divBdr>
                          <w:divsChild>
                            <w:div w:id="1046952067">
                              <w:marLeft w:val="0"/>
                              <w:marRight w:val="0"/>
                              <w:marTop w:val="0"/>
                              <w:marBottom w:val="0"/>
                              <w:divBdr>
                                <w:top w:val="none" w:sz="0" w:space="0" w:color="auto"/>
                                <w:left w:val="none" w:sz="0" w:space="0" w:color="auto"/>
                                <w:bottom w:val="none" w:sz="0" w:space="0" w:color="auto"/>
                                <w:right w:val="none" w:sz="0" w:space="0" w:color="auto"/>
                              </w:divBdr>
                              <w:divsChild>
                                <w:div w:id="2084790307">
                                  <w:marLeft w:val="0"/>
                                  <w:marRight w:val="0"/>
                                  <w:marTop w:val="0"/>
                                  <w:marBottom w:val="0"/>
                                  <w:divBdr>
                                    <w:top w:val="none" w:sz="0" w:space="0" w:color="auto"/>
                                    <w:left w:val="none" w:sz="0" w:space="0" w:color="auto"/>
                                    <w:bottom w:val="none" w:sz="0" w:space="0" w:color="auto"/>
                                    <w:right w:val="none" w:sz="0" w:space="0" w:color="auto"/>
                                  </w:divBdr>
                                  <w:divsChild>
                                    <w:div w:id="652029034">
                                      <w:marLeft w:val="0"/>
                                      <w:marRight w:val="0"/>
                                      <w:marTop w:val="0"/>
                                      <w:marBottom w:val="0"/>
                                      <w:divBdr>
                                        <w:top w:val="none" w:sz="0" w:space="0" w:color="auto"/>
                                        <w:left w:val="none" w:sz="0" w:space="0" w:color="auto"/>
                                        <w:bottom w:val="none" w:sz="0" w:space="0" w:color="auto"/>
                                        <w:right w:val="none" w:sz="0" w:space="0" w:color="auto"/>
                                      </w:divBdr>
                                      <w:divsChild>
                                        <w:div w:id="318577417">
                                          <w:marLeft w:val="0"/>
                                          <w:marRight w:val="0"/>
                                          <w:marTop w:val="0"/>
                                          <w:marBottom w:val="0"/>
                                          <w:divBdr>
                                            <w:top w:val="none" w:sz="0" w:space="0" w:color="auto"/>
                                            <w:left w:val="none" w:sz="0" w:space="0" w:color="auto"/>
                                            <w:bottom w:val="none" w:sz="0" w:space="0" w:color="auto"/>
                                            <w:right w:val="none" w:sz="0" w:space="0" w:color="auto"/>
                                          </w:divBdr>
                                          <w:divsChild>
                                            <w:div w:id="211656034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9926331">
      <w:bodyDiv w:val="1"/>
      <w:marLeft w:val="0"/>
      <w:marRight w:val="0"/>
      <w:marTop w:val="0"/>
      <w:marBottom w:val="0"/>
      <w:divBdr>
        <w:top w:val="none" w:sz="0" w:space="0" w:color="auto"/>
        <w:left w:val="none" w:sz="0" w:space="0" w:color="auto"/>
        <w:bottom w:val="none" w:sz="0" w:space="0" w:color="auto"/>
        <w:right w:val="none" w:sz="0" w:space="0" w:color="auto"/>
      </w:divBdr>
      <w:divsChild>
        <w:div w:id="2054192050">
          <w:marLeft w:val="0"/>
          <w:marRight w:val="0"/>
          <w:marTop w:val="0"/>
          <w:marBottom w:val="0"/>
          <w:divBdr>
            <w:top w:val="none" w:sz="0" w:space="0" w:color="auto"/>
            <w:left w:val="none" w:sz="0" w:space="0" w:color="auto"/>
            <w:bottom w:val="none" w:sz="0" w:space="0" w:color="auto"/>
            <w:right w:val="none" w:sz="0" w:space="0" w:color="auto"/>
          </w:divBdr>
          <w:divsChild>
            <w:div w:id="1831211182">
              <w:marLeft w:val="0"/>
              <w:marRight w:val="0"/>
              <w:marTop w:val="0"/>
              <w:marBottom w:val="0"/>
              <w:divBdr>
                <w:top w:val="none" w:sz="0" w:space="0" w:color="auto"/>
                <w:left w:val="none" w:sz="0" w:space="0" w:color="auto"/>
                <w:bottom w:val="none" w:sz="0" w:space="0" w:color="auto"/>
                <w:right w:val="none" w:sz="0" w:space="0" w:color="auto"/>
              </w:divBdr>
              <w:divsChild>
                <w:div w:id="2048141241">
                  <w:marLeft w:val="0"/>
                  <w:marRight w:val="0"/>
                  <w:marTop w:val="0"/>
                  <w:marBottom w:val="0"/>
                  <w:divBdr>
                    <w:top w:val="none" w:sz="0" w:space="0" w:color="auto"/>
                    <w:left w:val="none" w:sz="0" w:space="0" w:color="auto"/>
                    <w:bottom w:val="none" w:sz="0" w:space="0" w:color="auto"/>
                    <w:right w:val="none" w:sz="0" w:space="0" w:color="auto"/>
                  </w:divBdr>
                  <w:divsChild>
                    <w:div w:id="1966347782">
                      <w:marLeft w:val="0"/>
                      <w:marRight w:val="0"/>
                      <w:marTop w:val="0"/>
                      <w:marBottom w:val="0"/>
                      <w:divBdr>
                        <w:top w:val="none" w:sz="0" w:space="0" w:color="auto"/>
                        <w:left w:val="none" w:sz="0" w:space="0" w:color="auto"/>
                        <w:bottom w:val="none" w:sz="0" w:space="0" w:color="auto"/>
                        <w:right w:val="none" w:sz="0" w:space="0" w:color="auto"/>
                      </w:divBdr>
                      <w:divsChild>
                        <w:div w:id="548734926">
                          <w:marLeft w:val="0"/>
                          <w:marRight w:val="0"/>
                          <w:marTop w:val="0"/>
                          <w:marBottom w:val="0"/>
                          <w:divBdr>
                            <w:top w:val="none" w:sz="0" w:space="0" w:color="auto"/>
                            <w:left w:val="none" w:sz="0" w:space="0" w:color="auto"/>
                            <w:bottom w:val="none" w:sz="0" w:space="0" w:color="auto"/>
                            <w:right w:val="none" w:sz="0" w:space="0" w:color="auto"/>
                          </w:divBdr>
                        </w:div>
                        <w:div w:id="9335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D:\&#30333;&#30382;&#20070;\2020&#24180;&#24230;&#30333;&#30382;&#20070;\2020&#24180;&#24230;&#30333;&#30382;&#20070;&#22270;&#3492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30333;&#30382;&#20070;\2020&#24180;&#24230;&#30333;&#30382;&#20070;\2020&#24180;&#24230;&#30333;&#30382;&#20070;&#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0333;&#30382;&#20070;\2020&#24180;&#24230;&#30333;&#30382;&#20070;\2020&#24180;&#24230;&#30333;&#30382;&#20070;&#22270;&#3492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30333;&#30382;&#20070;\2020&#24180;&#24230;&#30333;&#30382;&#20070;\2020&#24180;&#24230;&#30333;&#30382;&#20070;&#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0333;&#30382;&#20070;\2020&#24180;&#24230;&#30333;&#30382;&#20070;\2020&#24180;&#24230;&#30333;&#30382;&#20070;&#22270;&#34920;.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30333;&#30382;&#20070;\2020&#24180;&#24230;&#30333;&#30382;&#20070;\2020&#24180;&#24230;&#30333;&#30382;&#20070;&#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30333;&#30382;&#20070;\2020&#24180;&#24230;&#30333;&#30382;&#20070;\2020&#24180;&#24230;&#30333;&#30382;&#20070;&#22270;&#349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30333;&#30382;&#20070;\2020&#24180;&#24230;&#30333;&#30382;&#20070;\2020&#24180;&#24230;&#30333;&#30382;&#2007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5"/>
  <c:chart>
    <c:title>
      <c:tx>
        <c:rich>
          <a:bodyPr/>
          <a:lstStyle/>
          <a:p>
            <a:pPr>
              <a:defRPr/>
            </a:pPr>
            <a:r>
              <a:rPr lang="zh-CN" altLang="en-US" sz="1200"/>
              <a:t>图一：</a:t>
            </a:r>
            <a:r>
              <a:rPr lang="en-US" altLang="zh-CN" sz="1200"/>
              <a:t>2011-2020</a:t>
            </a:r>
            <a:r>
              <a:rPr lang="zh-CN" altLang="en-US" sz="1200"/>
              <a:t>年涉老民事案件收、结案数量及结收比</a:t>
            </a:r>
          </a:p>
        </c:rich>
      </c:tx>
      <c:layout>
        <c:manualLayout>
          <c:xMode val="edge"/>
          <c:yMode val="edge"/>
          <c:x val="0.15559938897333403"/>
          <c:y val="2.5674373112011564E-2"/>
        </c:manualLayout>
      </c:layout>
    </c:title>
    <c:plotArea>
      <c:layout/>
      <c:barChart>
        <c:barDir val="col"/>
        <c:grouping val="clustered"/>
        <c:ser>
          <c:idx val="0"/>
          <c:order val="0"/>
          <c:tx>
            <c:strRef>
              <c:f>'1收结案及同期结案率'!$B$2</c:f>
              <c:strCache>
                <c:ptCount val="1"/>
                <c:pt idx="0">
                  <c:v>收案数</c:v>
                </c:pt>
              </c:strCache>
            </c:strRef>
          </c:tx>
          <c:spPr>
            <a:solidFill>
              <a:srgbClr val="99CC00"/>
            </a:solidFill>
          </c:spPr>
          <c:dLbls>
            <c:dLbl>
              <c:idx val="0"/>
              <c:layout>
                <c:manualLayout>
                  <c:x val="0"/>
                  <c:y val="5.7823113765302435E-2"/>
                </c:manualLayout>
              </c:layout>
              <c:showVal val="1"/>
            </c:dLbl>
            <c:dLbl>
              <c:idx val="1"/>
              <c:layout>
                <c:manualLayout>
                  <c:x val="-1.9351717464924881E-3"/>
                  <c:y val="5.4421754132049631E-2"/>
                </c:manualLayout>
              </c:layout>
              <c:showVal val="1"/>
            </c:dLbl>
            <c:dLbl>
              <c:idx val="2"/>
              <c:layout>
                <c:manualLayout>
                  <c:x val="0"/>
                  <c:y val="4.0816315599037034E-2"/>
                </c:manualLayout>
              </c:layout>
              <c:showVal val="1"/>
            </c:dLbl>
            <c:dLbl>
              <c:idx val="3"/>
              <c:layout>
                <c:manualLayout>
                  <c:x val="3.547773884383151E-17"/>
                  <c:y val="3.7414955965784091E-2"/>
                </c:manualLayout>
              </c:layout>
              <c:showVal val="1"/>
            </c:dLbl>
            <c:dLbl>
              <c:idx val="6"/>
              <c:layout>
                <c:manualLayout>
                  <c:x val="0"/>
                  <c:y val="5.1020394498796334E-2"/>
                </c:manualLayout>
              </c:layout>
              <c:showVal val="1"/>
            </c:dLbl>
            <c:dLbl>
              <c:idx val="7"/>
              <c:layout>
                <c:manualLayout>
                  <c:x val="-1.9351717464925903E-3"/>
                  <c:y val="2.0408157799518552E-2"/>
                </c:manualLayout>
              </c:layout>
              <c:showVal val="1"/>
            </c:dLbl>
            <c:dLbl>
              <c:idx val="8"/>
              <c:layout>
                <c:manualLayout>
                  <c:x val="7.0955477687662231E-17"/>
                  <c:y val="3.0612236699277852E-2"/>
                </c:manualLayout>
              </c:layout>
              <c:showVal val="1"/>
            </c:dLbl>
            <c:dLbl>
              <c:idx val="9"/>
              <c:layout>
                <c:manualLayout>
                  <c:x val="0"/>
                  <c:y val="4.761903486554412E-2"/>
                </c:manualLayout>
              </c:layout>
              <c:showVal val="1"/>
            </c:dLbl>
            <c:txPr>
              <a:bodyPr/>
              <a:lstStyle/>
              <a:p>
                <a:pPr>
                  <a:defRPr sz="700" baseline="0"/>
                </a:pPr>
                <a:endParaRPr lang="zh-CN"/>
              </a:p>
            </c:txPr>
            <c:showVal val="1"/>
          </c:dLbls>
          <c:cat>
            <c:strRef>
              <c:f>'1收结案及同期结案率'!$A$3:$A$12</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'1收结案及同期结案率'!$B$3:$B$12</c:f>
              <c:numCache>
                <c:formatCode>General</c:formatCode>
                <c:ptCount val="10"/>
                <c:pt idx="0">
                  <c:v>436</c:v>
                </c:pt>
                <c:pt idx="1">
                  <c:v>454</c:v>
                </c:pt>
                <c:pt idx="2">
                  <c:v>573</c:v>
                </c:pt>
                <c:pt idx="3">
                  <c:v>601</c:v>
                </c:pt>
                <c:pt idx="4">
                  <c:v>941</c:v>
                </c:pt>
                <c:pt idx="5">
                  <c:v>1063</c:v>
                </c:pt>
                <c:pt idx="6">
                  <c:v>1272</c:v>
                </c:pt>
                <c:pt idx="7">
                  <c:v>1422</c:v>
                </c:pt>
                <c:pt idx="8">
                  <c:v>1479</c:v>
                </c:pt>
                <c:pt idx="9">
                  <c:v>1140</c:v>
                </c:pt>
              </c:numCache>
            </c:numRef>
          </c:val>
        </c:ser>
        <c:ser>
          <c:idx val="1"/>
          <c:order val="1"/>
          <c:tx>
            <c:strRef>
              <c:f>'1收结案及同期结案率'!$C$2</c:f>
              <c:strCache>
                <c:ptCount val="1"/>
                <c:pt idx="0">
                  <c:v>结案数</c:v>
                </c:pt>
              </c:strCache>
            </c:strRef>
          </c:tx>
          <c:spPr>
            <a:solidFill>
              <a:schemeClr val="bg1">
                <a:lumMod val="65000"/>
              </a:schemeClr>
            </a:solidFill>
          </c:spPr>
          <c:dLbls>
            <c:dLbl>
              <c:idx val="6"/>
              <c:layout>
                <c:manualLayout>
                  <c:x val="0"/>
                  <c:y val="2.0408157799518552E-2"/>
                </c:manualLayout>
              </c:layout>
              <c:showVal val="1"/>
            </c:dLbl>
            <c:txPr>
              <a:bodyPr/>
              <a:lstStyle/>
              <a:p>
                <a:pPr>
                  <a:defRPr sz="700" baseline="0"/>
                </a:pPr>
                <a:endParaRPr lang="zh-CN"/>
              </a:p>
            </c:txPr>
            <c:showVal val="1"/>
          </c:dLbls>
          <c:cat>
            <c:strRef>
              <c:f>'1收结案及同期结案率'!$A$3:$A$12</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'1收结案及同期结案率'!$C$3:$C$12</c:f>
              <c:numCache>
                <c:formatCode>General</c:formatCode>
                <c:ptCount val="10"/>
                <c:pt idx="0">
                  <c:v>436</c:v>
                </c:pt>
                <c:pt idx="1">
                  <c:v>451</c:v>
                </c:pt>
                <c:pt idx="2">
                  <c:v>557</c:v>
                </c:pt>
                <c:pt idx="3">
                  <c:v>601</c:v>
                </c:pt>
                <c:pt idx="4">
                  <c:v>746</c:v>
                </c:pt>
                <c:pt idx="5">
                  <c:v>988</c:v>
                </c:pt>
                <c:pt idx="6">
                  <c:v>1339</c:v>
                </c:pt>
                <c:pt idx="7">
                  <c:v>1422</c:v>
                </c:pt>
                <c:pt idx="8">
                  <c:v>1479</c:v>
                </c:pt>
                <c:pt idx="9">
                  <c:v>1143</c:v>
                </c:pt>
              </c:numCache>
            </c:numRef>
          </c:val>
        </c:ser>
        <c:axId val="137503488"/>
        <c:axId val="137505408"/>
      </c:barChart>
      <c:lineChart>
        <c:grouping val="standard"/>
        <c:ser>
          <c:idx val="2"/>
          <c:order val="2"/>
          <c:tx>
            <c:strRef>
              <c:f>'1收结案及同期结案率'!$D$2</c:f>
              <c:strCache>
                <c:ptCount val="1"/>
                <c:pt idx="0">
                  <c:v>结收比</c:v>
                </c:pt>
              </c:strCache>
            </c:strRef>
          </c:tx>
          <c:spPr>
            <a:ln>
              <a:solidFill>
                <a:srgbClr val="CEA53E"/>
              </a:solidFill>
            </a:ln>
          </c:spPr>
          <c:marker>
            <c:symbol val="none"/>
          </c:marker>
          <c:dLbls>
            <c:dLbl>
              <c:idx val="0"/>
              <c:layout>
                <c:manualLayout>
                  <c:x val="-2.1286889211417512E-2"/>
                  <c:y val="-2.6782359316954062E-7"/>
                </c:manualLayout>
              </c:layout>
              <c:showVal val="1"/>
            </c:dLbl>
            <c:dLbl>
              <c:idx val="1"/>
              <c:layout>
                <c:manualLayout>
                  <c:x val="-2.3222060957910007E-2"/>
                  <c:y val="0"/>
                </c:manualLayout>
              </c:layout>
              <c:showVal val="1"/>
            </c:dLbl>
            <c:dLbl>
              <c:idx val="2"/>
              <c:layout>
                <c:manualLayout>
                  <c:x val="-1.9351717464924981E-2"/>
                  <c:y val="-3.1178769791679031E-17"/>
                </c:manualLayout>
              </c:layout>
              <c:showVal val="1"/>
            </c:dLbl>
            <c:dLbl>
              <c:idx val="3"/>
              <c:layout>
                <c:manualLayout>
                  <c:x val="-2.3222060957910007E-2"/>
                  <c:y val="-3.1178769791679031E-17"/>
                </c:manualLayout>
              </c:layout>
              <c:showVal val="1"/>
            </c:dLbl>
            <c:dLbl>
              <c:idx val="4"/>
              <c:layout>
                <c:manualLayout>
                  <c:x val="-2.5157232704402611E-2"/>
                  <c:y val="-2.721087706602543E-2"/>
                </c:manualLayout>
              </c:layout>
              <c:showVal val="1"/>
            </c:dLbl>
            <c:dLbl>
              <c:idx val="5"/>
              <c:layout>
                <c:manualLayout>
                  <c:x val="-2.9027576197387477E-2"/>
                  <c:y val="-3.1178769791679031E-17"/>
                </c:manualLayout>
              </c:layout>
              <c:showVal val="1"/>
            </c:dLbl>
            <c:dLbl>
              <c:idx val="6"/>
              <c:layout>
                <c:manualLayout>
                  <c:x val="-3.4833091436865311E-2"/>
                  <c:y val="-2.721087706602543E-2"/>
                </c:manualLayout>
              </c:layout>
              <c:showVal val="1"/>
            </c:dLbl>
            <c:dLbl>
              <c:idx val="9"/>
              <c:layout>
                <c:manualLayout>
                  <c:x val="-1.9351717464925023E-2"/>
                  <c:y val="-2.6782359316954062E-7"/>
                </c:manualLayout>
              </c:layout>
              <c:showVal val="1"/>
            </c:dLbl>
            <c:txPr>
              <a:bodyPr/>
              <a:lstStyle/>
              <a:p>
                <a:pPr>
                  <a:defRPr sz="700" baseline="0"/>
                </a:pPr>
                <a:endParaRPr lang="zh-CN"/>
              </a:p>
            </c:txPr>
            <c:showVal val="1"/>
          </c:dLbls>
          <c:cat>
            <c:strRef>
              <c:f>'1收结案及同期结案率'!$A$3:$A$12</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'1收结案及同期结案率'!$D$3:$D$12</c:f>
              <c:numCache>
                <c:formatCode>0.0%</c:formatCode>
                <c:ptCount val="10"/>
                <c:pt idx="0">
                  <c:v>1</c:v>
                </c:pt>
                <c:pt idx="1">
                  <c:v>0.99339207048458766</c:v>
                </c:pt>
                <c:pt idx="2">
                  <c:v>0.97207678883071458</c:v>
                </c:pt>
                <c:pt idx="3">
                  <c:v>1</c:v>
                </c:pt>
                <c:pt idx="4">
                  <c:v>0.79277364505844861</c:v>
                </c:pt>
                <c:pt idx="5">
                  <c:v>0.92944496707431801</c:v>
                </c:pt>
                <c:pt idx="6">
                  <c:v>1.0526729559748427</c:v>
                </c:pt>
                <c:pt idx="7">
                  <c:v>1</c:v>
                </c:pt>
                <c:pt idx="8">
                  <c:v>1</c:v>
                </c:pt>
                <c:pt idx="9">
                  <c:v>1.0026315789473679</c:v>
                </c:pt>
              </c:numCache>
            </c:numRef>
          </c:val>
        </c:ser>
        <c:marker val="1"/>
        <c:axId val="137705728"/>
        <c:axId val="137704192"/>
      </c:lineChart>
      <c:catAx>
        <c:axId val="137503488"/>
        <c:scaling>
          <c:orientation val="minMax"/>
        </c:scaling>
        <c:axPos val="b"/>
        <c:majorTickMark val="none"/>
        <c:tickLblPos val="nextTo"/>
        <c:crossAx val="137505408"/>
        <c:crosses val="autoZero"/>
        <c:auto val="1"/>
        <c:lblAlgn val="ctr"/>
        <c:lblOffset val="100"/>
      </c:catAx>
      <c:valAx>
        <c:axId val="137505408"/>
        <c:scaling>
          <c:orientation val="minMax"/>
        </c:scaling>
        <c:axPos val="l"/>
        <c:majorGridlines/>
        <c:numFmt formatCode="General" sourceLinked="1"/>
        <c:majorTickMark val="none"/>
        <c:tickLblPos val="nextTo"/>
        <c:crossAx val="137503488"/>
        <c:crosses val="autoZero"/>
        <c:crossBetween val="between"/>
      </c:valAx>
      <c:valAx>
        <c:axId val="137704192"/>
        <c:scaling>
          <c:orientation val="minMax"/>
        </c:scaling>
        <c:axPos val="r"/>
        <c:numFmt formatCode="0.0%" sourceLinked="1"/>
        <c:tickLblPos val="nextTo"/>
        <c:crossAx val="137705728"/>
        <c:crosses val="max"/>
        <c:crossBetween val="between"/>
      </c:valAx>
      <c:catAx>
        <c:axId val="137705728"/>
        <c:scaling>
          <c:orientation val="minMax"/>
        </c:scaling>
        <c:delete val="1"/>
        <c:axPos val="b"/>
        <c:tickLblPos val="none"/>
        <c:crossAx val="137704192"/>
        <c:crosses val="autoZero"/>
        <c:auto val="1"/>
        <c:lblAlgn val="ctr"/>
        <c:lblOffset val="100"/>
      </c:catAx>
    </c:plotArea>
    <c:legend>
      <c:legendPos val="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style val="5"/>
  <c:chart>
    <c:title>
      <c:tx>
        <c:rich>
          <a:bodyPr/>
          <a:lstStyle/>
          <a:p>
            <a:pPr>
              <a:defRPr/>
            </a:pPr>
            <a:r>
              <a:rPr lang="zh-CN" altLang="en-US" sz="1200"/>
              <a:t>图二：</a:t>
            </a:r>
            <a:r>
              <a:rPr lang="en-US" altLang="zh-CN" sz="1200"/>
              <a:t>2011-2020</a:t>
            </a:r>
            <a:r>
              <a:rPr lang="zh-CN" altLang="en-US" sz="1200"/>
              <a:t>年涉老民事案件收案类型分布</a:t>
            </a:r>
            <a:endParaRPr lang="zh-CN" sz="1200"/>
          </a:p>
        </c:rich>
      </c:tx>
    </c:title>
    <c:plotArea>
      <c:layout>
        <c:manualLayout>
          <c:layoutTarget val="inner"/>
          <c:xMode val="edge"/>
          <c:yMode val="edge"/>
          <c:x val="0.23901443569554048"/>
          <c:y val="0.23813648293963274"/>
          <c:w val="0.39145844269467089"/>
          <c:h val="0.65243073782443861"/>
        </c:manualLayout>
      </c:layout>
      <c:doughnutChart>
        <c:varyColors val="1"/>
        <c:ser>
          <c:idx val="0"/>
          <c:order val="0"/>
          <c:dPt>
            <c:idx val="0"/>
            <c:spPr>
              <a:solidFill>
                <a:srgbClr val="006600"/>
              </a:solidFill>
            </c:spPr>
          </c:dPt>
          <c:dPt>
            <c:idx val="1"/>
            <c:spPr>
              <a:solidFill>
                <a:srgbClr val="669900"/>
              </a:solidFill>
            </c:spPr>
          </c:dPt>
          <c:dPt>
            <c:idx val="2"/>
            <c:spPr>
              <a:solidFill>
                <a:srgbClr val="92D050"/>
              </a:solidFill>
            </c:spPr>
          </c:dPt>
          <c:dLbls>
            <c:dLbl>
              <c:idx val="0"/>
              <c:tx>
                <c:rich>
                  <a:bodyPr/>
                  <a:lstStyle/>
                  <a:p>
                    <a:r>
                      <a:rPr lang="en-US" altLang="en-US"/>
                      <a:t>4790</a:t>
                    </a:r>
                  </a:p>
                </c:rich>
              </c:tx>
              <c:showVal val="1"/>
              <c:showPercent val="1"/>
            </c:dLbl>
            <c:dLbl>
              <c:idx val="1"/>
              <c:tx>
                <c:rich>
                  <a:bodyPr/>
                  <a:lstStyle/>
                  <a:p>
                    <a:r>
                      <a:rPr lang="en-US" altLang="en-US"/>
                      <a:t>2686</a:t>
                    </a:r>
                  </a:p>
                </c:rich>
              </c:tx>
              <c:showVal val="1"/>
              <c:showPercent val="1"/>
            </c:dLbl>
            <c:dLbl>
              <c:idx val="2"/>
              <c:tx>
                <c:rich>
                  <a:bodyPr/>
                  <a:lstStyle/>
                  <a:p>
                    <a:r>
                      <a:rPr lang="en-US" altLang="en-US"/>
                      <a:t>1461</a:t>
                    </a:r>
                  </a:p>
                </c:rich>
              </c:tx>
              <c:showVal val="1"/>
              <c:showPercent val="1"/>
            </c:dLbl>
            <c:dLbl>
              <c:idx val="3"/>
              <c:tx>
                <c:rich>
                  <a:bodyPr/>
                  <a:lstStyle/>
                  <a:p>
                    <a:r>
                      <a:rPr lang="en-US" altLang="en-US"/>
                      <a:t>444</a:t>
                    </a:r>
                  </a:p>
                </c:rich>
              </c:tx>
              <c:showVal val="1"/>
              <c:showPercent val="1"/>
            </c:dLbl>
            <c:showVal val="1"/>
            <c:showPercent val="1"/>
            <c:showLeaderLines val="1"/>
          </c:dLbls>
          <c:cat>
            <c:strRef>
              <c:f>四大类型及案由前三!$I$1:$L$1</c:f>
              <c:strCache>
                <c:ptCount val="4"/>
                <c:pt idx="0">
                  <c:v>合同类</c:v>
                </c:pt>
                <c:pt idx="1">
                  <c:v>权属、侵权类</c:v>
                </c:pt>
                <c:pt idx="2">
                  <c:v>婚姻家庭继承类</c:v>
                </c:pt>
                <c:pt idx="3">
                  <c:v>特别程序</c:v>
                </c:pt>
              </c:strCache>
            </c:strRef>
          </c:cat>
          <c:val>
            <c:numRef>
              <c:f>四大类型及案由前三!$I$2:$L$2</c:f>
              <c:numCache>
                <c:formatCode>General</c:formatCode>
                <c:ptCount val="4"/>
                <c:pt idx="0">
                  <c:v>4790</c:v>
                </c:pt>
                <c:pt idx="1">
                  <c:v>2686</c:v>
                </c:pt>
                <c:pt idx="2">
                  <c:v>1461</c:v>
                </c:pt>
                <c:pt idx="3">
                  <c:v>444</c:v>
                </c:pt>
              </c:numCache>
            </c:numRef>
          </c:val>
        </c:ser>
        <c:dLbls>
          <c:showPercent val="1"/>
        </c:dLbls>
        <c:firstSliceAng val="0"/>
        <c:holeSize val="50"/>
      </c:doughnutChart>
    </c:plotArea>
    <c:legend>
      <c:legendPos val="r"/>
    </c:legend>
    <c:plotVisOnly val="1"/>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style val="5"/>
  <c:chart>
    <c:title>
      <c:tx>
        <c:rich>
          <a:bodyPr/>
          <a:lstStyle/>
          <a:p>
            <a:pPr>
              <a:defRPr/>
            </a:pPr>
            <a:r>
              <a:rPr lang="zh-CN" altLang="en-US" sz="1200" b="1" i="0" u="none" strike="noStrike" kern="1200" baseline="0">
                <a:solidFill>
                  <a:sysClr val="windowText" lastClr="000000"/>
                </a:solidFill>
                <a:latin typeface="+mn-lt"/>
                <a:ea typeface="+mn-ea"/>
                <a:cs typeface="+mn-cs"/>
              </a:rPr>
              <a:t>图三：涉老民事案件</a:t>
            </a:r>
            <a:r>
              <a:rPr lang="zh-CN" sz="1200"/>
              <a:t>收案类型年度分布</a:t>
            </a:r>
          </a:p>
        </c:rich>
      </c:tx>
      <c:layout>
        <c:manualLayout>
          <c:xMode val="edge"/>
          <c:yMode val="edge"/>
          <c:x val="0.13644444444444831"/>
          <c:y val="3.2407407407407988E-2"/>
        </c:manualLayout>
      </c:layout>
    </c:title>
    <c:plotArea>
      <c:layout/>
      <c:barChart>
        <c:barDir val="col"/>
        <c:grouping val="stacked"/>
        <c:ser>
          <c:idx val="0"/>
          <c:order val="0"/>
          <c:tx>
            <c:strRef>
              <c:f>四大类型及案由前三!$B$1</c:f>
              <c:strCache>
                <c:ptCount val="1"/>
                <c:pt idx="0">
                  <c:v>权属、侵权类</c:v>
                </c:pt>
              </c:strCache>
            </c:strRef>
          </c:tx>
          <c:spPr>
            <a:solidFill>
              <a:srgbClr val="006600"/>
            </a:solidFill>
          </c:spPr>
          <c:cat>
            <c:strRef>
              <c:f>四大类型及案由前三!$A$2:$A$11</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四大类型及案由前三!$B$2:$B$11</c:f>
              <c:numCache>
                <c:formatCode>General</c:formatCode>
                <c:ptCount val="10"/>
                <c:pt idx="0">
                  <c:v>214</c:v>
                </c:pt>
                <c:pt idx="1">
                  <c:v>173</c:v>
                </c:pt>
                <c:pt idx="2">
                  <c:v>225</c:v>
                </c:pt>
                <c:pt idx="3">
                  <c:v>199</c:v>
                </c:pt>
                <c:pt idx="4">
                  <c:v>275</c:v>
                </c:pt>
                <c:pt idx="5">
                  <c:v>399</c:v>
                </c:pt>
                <c:pt idx="6">
                  <c:v>331</c:v>
                </c:pt>
                <c:pt idx="7">
                  <c:v>325</c:v>
                </c:pt>
                <c:pt idx="8">
                  <c:v>291</c:v>
                </c:pt>
                <c:pt idx="9">
                  <c:v>254</c:v>
                </c:pt>
              </c:numCache>
            </c:numRef>
          </c:val>
        </c:ser>
        <c:ser>
          <c:idx val="1"/>
          <c:order val="1"/>
          <c:tx>
            <c:strRef>
              <c:f>四大类型及案由前三!$C$1</c:f>
              <c:strCache>
                <c:ptCount val="1"/>
                <c:pt idx="0">
                  <c:v>合同类</c:v>
                </c:pt>
              </c:strCache>
            </c:strRef>
          </c:tx>
          <c:spPr>
            <a:solidFill>
              <a:srgbClr val="669900"/>
            </a:solidFill>
          </c:spPr>
          <c:cat>
            <c:strRef>
              <c:f>四大类型及案由前三!$A$2:$A$11</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四大类型及案由前三!$C$2:$C$11</c:f>
              <c:numCache>
                <c:formatCode>General</c:formatCode>
                <c:ptCount val="10"/>
                <c:pt idx="0">
                  <c:v>112</c:v>
                </c:pt>
                <c:pt idx="1">
                  <c:v>148</c:v>
                </c:pt>
                <c:pt idx="2">
                  <c:v>199</c:v>
                </c:pt>
                <c:pt idx="3">
                  <c:v>261</c:v>
                </c:pt>
                <c:pt idx="4">
                  <c:v>398</c:v>
                </c:pt>
                <c:pt idx="5">
                  <c:v>420</c:v>
                </c:pt>
                <c:pt idx="6">
                  <c:v>714</c:v>
                </c:pt>
                <c:pt idx="7">
                  <c:v>872</c:v>
                </c:pt>
                <c:pt idx="8">
                  <c:v>967</c:v>
                </c:pt>
                <c:pt idx="9">
                  <c:v>699</c:v>
                </c:pt>
              </c:numCache>
            </c:numRef>
          </c:val>
        </c:ser>
        <c:ser>
          <c:idx val="2"/>
          <c:order val="2"/>
          <c:tx>
            <c:strRef>
              <c:f>四大类型及案由前三!$D$1</c:f>
              <c:strCache>
                <c:ptCount val="1"/>
                <c:pt idx="0">
                  <c:v>婚姻家庭继承类</c:v>
                </c:pt>
              </c:strCache>
            </c:strRef>
          </c:tx>
          <c:cat>
            <c:strRef>
              <c:f>四大类型及案由前三!$A$2:$A$11</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四大类型及案由前三!$D$2:$D$11</c:f>
              <c:numCache>
                <c:formatCode>General</c:formatCode>
                <c:ptCount val="10"/>
                <c:pt idx="0">
                  <c:v>97</c:v>
                </c:pt>
                <c:pt idx="1">
                  <c:v>102</c:v>
                </c:pt>
                <c:pt idx="2">
                  <c:v>115</c:v>
                </c:pt>
                <c:pt idx="3">
                  <c:v>96</c:v>
                </c:pt>
                <c:pt idx="4">
                  <c:v>147</c:v>
                </c:pt>
                <c:pt idx="5">
                  <c:v>207</c:v>
                </c:pt>
                <c:pt idx="6">
                  <c:v>206</c:v>
                </c:pt>
                <c:pt idx="7">
                  <c:v>177</c:v>
                </c:pt>
                <c:pt idx="8">
                  <c:v>173</c:v>
                </c:pt>
                <c:pt idx="9">
                  <c:v>141</c:v>
                </c:pt>
              </c:numCache>
            </c:numRef>
          </c:val>
        </c:ser>
        <c:ser>
          <c:idx val="3"/>
          <c:order val="3"/>
          <c:tx>
            <c:strRef>
              <c:f>四大类型及案由前三!$E$1</c:f>
              <c:strCache>
                <c:ptCount val="1"/>
                <c:pt idx="0">
                  <c:v>特别程序</c:v>
                </c:pt>
              </c:strCache>
            </c:strRef>
          </c:tx>
          <c:spPr>
            <a:solidFill>
              <a:srgbClr val="008080"/>
            </a:solidFill>
          </c:spPr>
          <c:cat>
            <c:strRef>
              <c:f>四大类型及案由前三!$A$2:$A$11</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四大类型及案由前三!$E$2:$E$11</c:f>
              <c:numCache>
                <c:formatCode>General</c:formatCode>
                <c:ptCount val="10"/>
                <c:pt idx="0">
                  <c:v>13</c:v>
                </c:pt>
                <c:pt idx="1">
                  <c:v>31</c:v>
                </c:pt>
                <c:pt idx="2">
                  <c:v>34</c:v>
                </c:pt>
                <c:pt idx="3">
                  <c:v>45</c:v>
                </c:pt>
                <c:pt idx="4">
                  <c:v>121</c:v>
                </c:pt>
                <c:pt idx="5">
                  <c:v>37</c:v>
                </c:pt>
                <c:pt idx="6">
                  <c:v>21</c:v>
                </c:pt>
                <c:pt idx="7">
                  <c:v>48</c:v>
                </c:pt>
                <c:pt idx="8">
                  <c:v>48</c:v>
                </c:pt>
                <c:pt idx="9">
                  <c:v>46</c:v>
                </c:pt>
              </c:numCache>
            </c:numRef>
          </c:val>
        </c:ser>
        <c:gapWidth val="111"/>
        <c:overlap val="100"/>
        <c:axId val="136836608"/>
        <c:axId val="136838144"/>
      </c:barChart>
      <c:catAx>
        <c:axId val="136836608"/>
        <c:scaling>
          <c:orientation val="minMax"/>
        </c:scaling>
        <c:axPos val="b"/>
        <c:majorTickMark val="none"/>
        <c:tickLblPos val="nextTo"/>
        <c:crossAx val="136838144"/>
        <c:crosses val="autoZero"/>
        <c:auto val="1"/>
        <c:lblAlgn val="ctr"/>
        <c:lblOffset val="100"/>
      </c:catAx>
      <c:valAx>
        <c:axId val="136838144"/>
        <c:scaling>
          <c:orientation val="minMax"/>
        </c:scaling>
        <c:axPos val="l"/>
        <c:majorGridlines/>
        <c:numFmt formatCode="General" sourceLinked="1"/>
        <c:majorTickMark val="none"/>
        <c:tickLblPos val="nextTo"/>
        <c:crossAx val="136836608"/>
        <c:crosses val="autoZero"/>
        <c:crossBetween val="between"/>
      </c:valAx>
    </c:plotArea>
    <c:legend>
      <c:legendPos val="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180769903762045"/>
          <c:y val="4.6296296296296523E-2"/>
          <c:w val="0.53888888888888964"/>
          <c:h val="0.89814814814814814"/>
        </c:manualLayout>
      </c:layout>
      <c:doughnutChart>
        <c:varyColors val="1"/>
        <c:ser>
          <c:idx val="0"/>
          <c:order val="0"/>
          <c:tx>
            <c:strRef>
              <c:f>四大类型及案由前三!$A$29</c:f>
              <c:strCache>
                <c:ptCount val="1"/>
                <c:pt idx="0">
                  <c:v>2011年</c:v>
                </c:pt>
              </c:strCache>
            </c:strRef>
          </c:tx>
          <c:dPt>
            <c:idx val="0"/>
            <c:spPr>
              <a:solidFill>
                <a:srgbClr val="9F3380"/>
              </a:solidFill>
            </c:spPr>
          </c:dPt>
          <c:dPt>
            <c:idx val="1"/>
            <c:spPr>
              <a:noFill/>
            </c:spPr>
          </c:dPt>
          <c:cat>
            <c:strRef>
              <c:f>四大类型及案由前三!$B$28:$C$28</c:f>
              <c:strCache>
                <c:ptCount val="2"/>
                <c:pt idx="0">
                  <c:v>合同类案件比例</c:v>
                </c:pt>
                <c:pt idx="1">
                  <c:v>辅助数据</c:v>
                </c:pt>
              </c:strCache>
            </c:strRef>
          </c:cat>
          <c:val>
            <c:numRef>
              <c:f>四大类型及案由前三!$B$29:$C$29</c:f>
              <c:numCache>
                <c:formatCode>0.0%</c:formatCode>
                <c:ptCount val="2"/>
                <c:pt idx="0">
                  <c:v>0.25688073394496436</c:v>
                </c:pt>
                <c:pt idx="1">
                  <c:v>0.74311926605504663</c:v>
                </c:pt>
              </c:numCache>
            </c:numRef>
          </c:val>
        </c:ser>
        <c:ser>
          <c:idx val="1"/>
          <c:order val="1"/>
          <c:tx>
            <c:strRef>
              <c:f>四大类型及案由前三!$A$30</c:f>
              <c:strCache>
                <c:ptCount val="1"/>
                <c:pt idx="0">
                  <c:v>2012年</c:v>
                </c:pt>
              </c:strCache>
            </c:strRef>
          </c:tx>
          <c:dPt>
            <c:idx val="0"/>
            <c:spPr>
              <a:solidFill>
                <a:srgbClr val="2A97A2"/>
              </a:solidFill>
            </c:spPr>
          </c:dPt>
          <c:dPt>
            <c:idx val="1"/>
            <c:spPr>
              <a:noFill/>
            </c:spPr>
          </c:dPt>
          <c:cat>
            <c:strRef>
              <c:f>四大类型及案由前三!$B$28:$C$28</c:f>
              <c:strCache>
                <c:ptCount val="2"/>
                <c:pt idx="0">
                  <c:v>合同类案件比例</c:v>
                </c:pt>
                <c:pt idx="1">
                  <c:v>辅助数据</c:v>
                </c:pt>
              </c:strCache>
            </c:strRef>
          </c:cat>
          <c:val>
            <c:numRef>
              <c:f>四大类型及案由前三!$B$30:$C$30</c:f>
              <c:numCache>
                <c:formatCode>0.0%</c:formatCode>
                <c:ptCount val="2"/>
                <c:pt idx="0">
                  <c:v>0.32599118942731281</c:v>
                </c:pt>
                <c:pt idx="1">
                  <c:v>0.6740088105727069</c:v>
                </c:pt>
              </c:numCache>
            </c:numRef>
          </c:val>
        </c:ser>
        <c:ser>
          <c:idx val="2"/>
          <c:order val="2"/>
          <c:tx>
            <c:strRef>
              <c:f>四大类型及案由前三!$A$31</c:f>
              <c:strCache>
                <c:ptCount val="1"/>
                <c:pt idx="0">
                  <c:v>2013年</c:v>
                </c:pt>
              </c:strCache>
            </c:strRef>
          </c:tx>
          <c:dPt>
            <c:idx val="0"/>
            <c:spPr>
              <a:solidFill>
                <a:srgbClr val="A17F2B"/>
              </a:solidFill>
            </c:spPr>
          </c:dPt>
          <c:dPt>
            <c:idx val="1"/>
            <c:spPr>
              <a:noFill/>
            </c:spPr>
          </c:dPt>
          <c:cat>
            <c:strRef>
              <c:f>四大类型及案由前三!$B$28:$C$28</c:f>
              <c:strCache>
                <c:ptCount val="2"/>
                <c:pt idx="0">
                  <c:v>合同类案件比例</c:v>
                </c:pt>
                <c:pt idx="1">
                  <c:v>辅助数据</c:v>
                </c:pt>
              </c:strCache>
            </c:strRef>
          </c:cat>
          <c:val>
            <c:numRef>
              <c:f>四大类型及案由前三!$B$31:$C$31</c:f>
              <c:numCache>
                <c:formatCode>0.0%</c:formatCode>
                <c:ptCount val="2"/>
                <c:pt idx="0">
                  <c:v>0.34729493891797558</c:v>
                </c:pt>
                <c:pt idx="1">
                  <c:v>0.65270506108202464</c:v>
                </c:pt>
              </c:numCache>
            </c:numRef>
          </c:val>
        </c:ser>
        <c:ser>
          <c:idx val="3"/>
          <c:order val="3"/>
          <c:tx>
            <c:strRef>
              <c:f>四大类型及案由前三!$A$32</c:f>
              <c:strCache>
                <c:ptCount val="1"/>
                <c:pt idx="0">
                  <c:v>2014年</c:v>
                </c:pt>
              </c:strCache>
            </c:strRef>
          </c:tx>
          <c:dPt>
            <c:idx val="0"/>
            <c:spPr>
              <a:solidFill>
                <a:srgbClr val="81AE1E"/>
              </a:solidFill>
            </c:spPr>
          </c:dPt>
          <c:dPt>
            <c:idx val="1"/>
            <c:spPr>
              <a:noFill/>
            </c:spPr>
          </c:dPt>
          <c:cat>
            <c:strRef>
              <c:f>四大类型及案由前三!$B$28:$C$28</c:f>
              <c:strCache>
                <c:ptCount val="2"/>
                <c:pt idx="0">
                  <c:v>合同类案件比例</c:v>
                </c:pt>
                <c:pt idx="1">
                  <c:v>辅助数据</c:v>
                </c:pt>
              </c:strCache>
            </c:strRef>
          </c:cat>
          <c:val>
            <c:numRef>
              <c:f>四大类型及案由前三!$B$32:$C$32</c:f>
              <c:numCache>
                <c:formatCode>0.0%</c:formatCode>
                <c:ptCount val="2"/>
                <c:pt idx="0">
                  <c:v>0.43427620632280051</c:v>
                </c:pt>
                <c:pt idx="1">
                  <c:v>0.5657237936772046</c:v>
                </c:pt>
              </c:numCache>
            </c:numRef>
          </c:val>
        </c:ser>
        <c:ser>
          <c:idx val="4"/>
          <c:order val="4"/>
          <c:tx>
            <c:strRef>
              <c:f>四大类型及案由前三!$A$33</c:f>
              <c:strCache>
                <c:ptCount val="1"/>
                <c:pt idx="0">
                  <c:v>2015年</c:v>
                </c:pt>
              </c:strCache>
            </c:strRef>
          </c:tx>
          <c:dPt>
            <c:idx val="0"/>
            <c:spPr>
              <a:solidFill>
                <a:schemeClr val="accent6">
                  <a:lumMod val="75000"/>
                </a:schemeClr>
              </a:solidFill>
            </c:spPr>
          </c:dPt>
          <c:dPt>
            <c:idx val="1"/>
            <c:spPr>
              <a:noFill/>
            </c:spPr>
          </c:dPt>
          <c:cat>
            <c:strRef>
              <c:f>四大类型及案由前三!$B$28:$C$28</c:f>
              <c:strCache>
                <c:ptCount val="2"/>
                <c:pt idx="0">
                  <c:v>合同类案件比例</c:v>
                </c:pt>
                <c:pt idx="1">
                  <c:v>辅助数据</c:v>
                </c:pt>
              </c:strCache>
            </c:strRef>
          </c:cat>
          <c:val>
            <c:numRef>
              <c:f>四大类型及案由前三!$B$33:$C$33</c:f>
              <c:numCache>
                <c:formatCode>0.0%</c:formatCode>
                <c:ptCount val="2"/>
                <c:pt idx="0">
                  <c:v>0.4229543039319929</c:v>
                </c:pt>
                <c:pt idx="1">
                  <c:v>0.57704569606803258</c:v>
                </c:pt>
              </c:numCache>
            </c:numRef>
          </c:val>
        </c:ser>
        <c:ser>
          <c:idx val="5"/>
          <c:order val="5"/>
          <c:tx>
            <c:strRef>
              <c:f>四大类型及案由前三!$A$34</c:f>
              <c:strCache>
                <c:ptCount val="1"/>
                <c:pt idx="0">
                  <c:v>2016年</c:v>
                </c:pt>
              </c:strCache>
            </c:strRef>
          </c:tx>
          <c:dPt>
            <c:idx val="0"/>
            <c:spPr>
              <a:solidFill>
                <a:srgbClr val="00B0F0"/>
              </a:solidFill>
            </c:spPr>
          </c:dPt>
          <c:dPt>
            <c:idx val="1"/>
            <c:spPr>
              <a:noFill/>
            </c:spPr>
          </c:dPt>
          <c:cat>
            <c:strRef>
              <c:f>四大类型及案由前三!$B$28:$C$28</c:f>
              <c:strCache>
                <c:ptCount val="2"/>
                <c:pt idx="0">
                  <c:v>合同类案件比例</c:v>
                </c:pt>
                <c:pt idx="1">
                  <c:v>辅助数据</c:v>
                </c:pt>
              </c:strCache>
            </c:strRef>
          </c:cat>
          <c:val>
            <c:numRef>
              <c:f>四大类型及案由前三!$B$34:$C$34</c:f>
              <c:numCache>
                <c:formatCode>0.0%</c:formatCode>
                <c:ptCount val="2"/>
                <c:pt idx="0">
                  <c:v>0.3951081843838285</c:v>
                </c:pt>
                <c:pt idx="1">
                  <c:v>0.60489181561620409</c:v>
                </c:pt>
              </c:numCache>
            </c:numRef>
          </c:val>
        </c:ser>
        <c:ser>
          <c:idx val="6"/>
          <c:order val="6"/>
          <c:tx>
            <c:strRef>
              <c:f>四大类型及案由前三!$A$35</c:f>
              <c:strCache>
                <c:ptCount val="1"/>
                <c:pt idx="0">
                  <c:v>2017年</c:v>
                </c:pt>
              </c:strCache>
            </c:strRef>
          </c:tx>
          <c:dPt>
            <c:idx val="0"/>
            <c:spPr>
              <a:solidFill>
                <a:srgbClr val="FF99FF"/>
              </a:solidFill>
            </c:spPr>
          </c:dPt>
          <c:dPt>
            <c:idx val="1"/>
            <c:spPr>
              <a:noFill/>
            </c:spPr>
          </c:dPt>
          <c:dLbls>
            <c:dLbl>
              <c:idx val="0"/>
              <c:layout>
                <c:manualLayout>
                  <c:x val="0.23598820058997463"/>
                  <c:y val="-0.17543859649123275"/>
                </c:manualLayout>
              </c:layout>
              <c:showVal val="1"/>
            </c:dLbl>
            <c:delete val="1"/>
          </c:dLbls>
          <c:cat>
            <c:strRef>
              <c:f>四大类型及案由前三!$B$28:$C$28</c:f>
              <c:strCache>
                <c:ptCount val="2"/>
                <c:pt idx="0">
                  <c:v>合同类案件比例</c:v>
                </c:pt>
                <c:pt idx="1">
                  <c:v>辅助数据</c:v>
                </c:pt>
              </c:strCache>
            </c:strRef>
          </c:cat>
          <c:val>
            <c:numRef>
              <c:f>四大类型及案由前三!$B$35:$C$35</c:f>
              <c:numCache>
                <c:formatCode>0.0%</c:formatCode>
                <c:ptCount val="2"/>
                <c:pt idx="0">
                  <c:v>0.56132075471698117</c:v>
                </c:pt>
                <c:pt idx="1">
                  <c:v>0.43867924528301888</c:v>
                </c:pt>
              </c:numCache>
            </c:numRef>
          </c:val>
        </c:ser>
        <c:ser>
          <c:idx val="7"/>
          <c:order val="7"/>
          <c:tx>
            <c:strRef>
              <c:f>四大类型及案由前三!$A$36</c:f>
              <c:strCache>
                <c:ptCount val="1"/>
                <c:pt idx="0">
                  <c:v>2018年</c:v>
                </c:pt>
              </c:strCache>
            </c:strRef>
          </c:tx>
          <c:dPt>
            <c:idx val="0"/>
            <c:spPr>
              <a:solidFill>
                <a:srgbClr val="FFCC66"/>
              </a:solidFill>
            </c:spPr>
          </c:dPt>
          <c:dPt>
            <c:idx val="1"/>
            <c:spPr>
              <a:noFill/>
            </c:spPr>
          </c:dPt>
          <c:dLbls>
            <c:dLbl>
              <c:idx val="0"/>
              <c:layout>
                <c:manualLayout>
                  <c:x val="0.33038348082596919"/>
                  <c:y val="-0.10526315789473686"/>
                </c:manualLayout>
              </c:layout>
              <c:showVal val="1"/>
            </c:dLbl>
            <c:delete val="1"/>
          </c:dLbls>
          <c:cat>
            <c:strRef>
              <c:f>四大类型及案由前三!$B$28:$C$28</c:f>
              <c:strCache>
                <c:ptCount val="2"/>
                <c:pt idx="0">
                  <c:v>合同类案件比例</c:v>
                </c:pt>
                <c:pt idx="1">
                  <c:v>辅助数据</c:v>
                </c:pt>
              </c:strCache>
            </c:strRef>
          </c:cat>
          <c:val>
            <c:numRef>
              <c:f>四大类型及案由前三!$B$36:$C$36</c:f>
              <c:numCache>
                <c:formatCode>0.0%</c:formatCode>
                <c:ptCount val="2"/>
                <c:pt idx="0">
                  <c:v>0.61322081575246135</c:v>
                </c:pt>
                <c:pt idx="1">
                  <c:v>0.38677918424753882</c:v>
                </c:pt>
              </c:numCache>
            </c:numRef>
          </c:val>
        </c:ser>
        <c:ser>
          <c:idx val="8"/>
          <c:order val="8"/>
          <c:tx>
            <c:strRef>
              <c:f>四大类型及案由前三!$A$37</c:f>
              <c:strCache>
                <c:ptCount val="1"/>
                <c:pt idx="0">
                  <c:v>2019年</c:v>
                </c:pt>
              </c:strCache>
            </c:strRef>
          </c:tx>
          <c:dPt>
            <c:idx val="0"/>
            <c:spPr>
              <a:solidFill>
                <a:schemeClr val="accent5">
                  <a:lumMod val="60000"/>
                  <a:lumOff val="40000"/>
                </a:schemeClr>
              </a:solidFill>
            </c:spPr>
          </c:dPt>
          <c:dPt>
            <c:idx val="1"/>
            <c:spPr>
              <a:solidFill>
                <a:sysClr val="window" lastClr="FFFFFF"/>
              </a:solidFill>
            </c:spPr>
          </c:dPt>
          <c:dLbls>
            <c:dLbl>
              <c:idx val="0"/>
              <c:layout>
                <c:manualLayout>
                  <c:x val="0.41002949852507381"/>
                  <c:y val="-1.3157894736842151E-2"/>
                </c:manualLayout>
              </c:layout>
              <c:showVal val="1"/>
            </c:dLbl>
            <c:delete val="1"/>
          </c:dLbls>
          <c:cat>
            <c:strRef>
              <c:f>四大类型及案由前三!$B$28:$C$28</c:f>
              <c:strCache>
                <c:ptCount val="2"/>
                <c:pt idx="0">
                  <c:v>合同类案件比例</c:v>
                </c:pt>
                <c:pt idx="1">
                  <c:v>辅助数据</c:v>
                </c:pt>
              </c:strCache>
            </c:strRef>
          </c:cat>
          <c:val>
            <c:numRef>
              <c:f>四大类型及案由前三!$B$37:$C$37</c:f>
              <c:numCache>
                <c:formatCode>0.0%</c:formatCode>
                <c:ptCount val="2"/>
                <c:pt idx="0">
                  <c:v>0.65382014874915484</c:v>
                </c:pt>
                <c:pt idx="1">
                  <c:v>0.34617985125085304</c:v>
                </c:pt>
              </c:numCache>
            </c:numRef>
          </c:val>
        </c:ser>
        <c:ser>
          <c:idx val="9"/>
          <c:order val="9"/>
          <c:tx>
            <c:strRef>
              <c:f>四大类型及案由前三!$A$38</c:f>
              <c:strCache>
                <c:ptCount val="1"/>
                <c:pt idx="0">
                  <c:v>2020年</c:v>
                </c:pt>
              </c:strCache>
            </c:strRef>
          </c:tx>
          <c:dPt>
            <c:idx val="0"/>
            <c:spPr>
              <a:solidFill>
                <a:srgbClr val="00CC66"/>
              </a:solidFill>
            </c:spPr>
          </c:dPt>
          <c:dPt>
            <c:idx val="1"/>
            <c:spPr>
              <a:solidFill>
                <a:sysClr val="window" lastClr="FFFFFF"/>
              </a:solidFill>
            </c:spPr>
          </c:dPt>
          <c:dLbls>
            <c:dLbl>
              <c:idx val="0"/>
              <c:layout>
                <c:manualLayout>
                  <c:x val="0.43952802359882748"/>
                  <c:y val="-0.19736842105263191"/>
                </c:manualLayout>
              </c:layout>
              <c:showVal val="1"/>
            </c:dLbl>
            <c:delete val="1"/>
          </c:dLbls>
          <c:cat>
            <c:strRef>
              <c:f>四大类型及案由前三!$B$28:$C$28</c:f>
              <c:strCache>
                <c:ptCount val="2"/>
                <c:pt idx="0">
                  <c:v>合同类案件比例</c:v>
                </c:pt>
                <c:pt idx="1">
                  <c:v>辅助数据</c:v>
                </c:pt>
              </c:strCache>
            </c:strRef>
          </c:cat>
          <c:val>
            <c:numRef>
              <c:f>四大类型及案由前三!$B$38:$C$38</c:f>
              <c:numCache>
                <c:formatCode>0.0%</c:formatCode>
                <c:ptCount val="2"/>
                <c:pt idx="0">
                  <c:v>0.61315789473684212</c:v>
                </c:pt>
                <c:pt idx="1">
                  <c:v>0.38684210526316576</c:v>
                </c:pt>
              </c:numCache>
            </c:numRef>
          </c:val>
        </c:ser>
        <c:firstSliceAng val="180"/>
        <c:holeSize val="10"/>
      </c:doughnutChart>
    </c:plotArea>
    <c:plotVisOnly val="1"/>
    <c:dispBlanksAs val="zero"/>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style val="5"/>
  <c:chart>
    <c:title>
      <c:tx>
        <c:rich>
          <a:bodyPr/>
          <a:lstStyle/>
          <a:p>
            <a:pPr>
              <a:defRPr/>
            </a:pPr>
            <a:r>
              <a:rPr lang="zh-CN" altLang="en-US" sz="1200"/>
              <a:t>图五：</a:t>
            </a:r>
            <a:r>
              <a:rPr lang="en-US" sz="1200"/>
              <a:t>2011-2020</a:t>
            </a:r>
            <a:r>
              <a:rPr lang="zh-CN" sz="1200"/>
              <a:t>年涉老民事案件主要案由变化趋势 </a:t>
            </a:r>
          </a:p>
        </c:rich>
      </c:tx>
      <c:layout>
        <c:manualLayout>
          <c:xMode val="edge"/>
          <c:yMode val="edge"/>
          <c:x val="0.12935265466004087"/>
          <c:y val="2.5338049784163701E-2"/>
        </c:manualLayout>
      </c:layout>
    </c:title>
    <c:plotArea>
      <c:layout/>
      <c:lineChart>
        <c:grouping val="standard"/>
        <c:ser>
          <c:idx val="0"/>
          <c:order val="0"/>
          <c:tx>
            <c:strRef>
              <c:f>四大类型及案由前三!$B$55</c:f>
              <c:strCache>
                <c:ptCount val="1"/>
                <c:pt idx="0">
                  <c:v>民间借贷纠纷数量</c:v>
                </c:pt>
              </c:strCache>
            </c:strRef>
          </c:tx>
          <c:marker>
            <c:spPr>
              <a:solidFill>
                <a:srgbClr val="008080"/>
              </a:solidFill>
            </c:spPr>
          </c:marker>
          <c:cat>
            <c:strRef>
              <c:f>四大类型及案由前三!$A$56:$A$65</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四大类型及案由前三!$B$56:$B$65</c:f>
              <c:numCache>
                <c:formatCode>General</c:formatCode>
                <c:ptCount val="10"/>
                <c:pt idx="0">
                  <c:v>42</c:v>
                </c:pt>
                <c:pt idx="1">
                  <c:v>83</c:v>
                </c:pt>
                <c:pt idx="2">
                  <c:v>116</c:v>
                </c:pt>
                <c:pt idx="3">
                  <c:v>114</c:v>
                </c:pt>
                <c:pt idx="4">
                  <c:v>133</c:v>
                </c:pt>
                <c:pt idx="5">
                  <c:v>231</c:v>
                </c:pt>
                <c:pt idx="6">
                  <c:v>607</c:v>
                </c:pt>
                <c:pt idx="7">
                  <c:v>686</c:v>
                </c:pt>
                <c:pt idx="8">
                  <c:v>793</c:v>
                </c:pt>
                <c:pt idx="9">
                  <c:v>581</c:v>
                </c:pt>
              </c:numCache>
            </c:numRef>
          </c:val>
          <c:smooth val="1"/>
        </c:ser>
        <c:ser>
          <c:idx val="1"/>
          <c:order val="1"/>
          <c:tx>
            <c:strRef>
              <c:f>四大类型及案由前三!$C$55</c:f>
              <c:strCache>
                <c:ptCount val="1"/>
                <c:pt idx="0">
                  <c:v>相邻关系纠纷</c:v>
                </c:pt>
              </c:strCache>
            </c:strRef>
          </c:tx>
          <c:cat>
            <c:strRef>
              <c:f>四大类型及案由前三!$A$56:$A$65</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四大类型及案由前三!$C$56:$C$65</c:f>
              <c:numCache>
                <c:formatCode>General</c:formatCode>
                <c:ptCount val="10"/>
                <c:pt idx="0">
                  <c:v>78</c:v>
                </c:pt>
                <c:pt idx="1">
                  <c:v>75</c:v>
                </c:pt>
                <c:pt idx="2">
                  <c:v>60</c:v>
                </c:pt>
                <c:pt idx="3">
                  <c:v>45</c:v>
                </c:pt>
                <c:pt idx="4">
                  <c:v>65</c:v>
                </c:pt>
                <c:pt idx="5">
                  <c:v>65</c:v>
                </c:pt>
                <c:pt idx="6">
                  <c:v>125</c:v>
                </c:pt>
                <c:pt idx="7">
                  <c:v>88</c:v>
                </c:pt>
                <c:pt idx="8">
                  <c:v>83</c:v>
                </c:pt>
                <c:pt idx="9">
                  <c:v>76</c:v>
                </c:pt>
              </c:numCache>
            </c:numRef>
          </c:val>
          <c:smooth val="1"/>
        </c:ser>
        <c:ser>
          <c:idx val="2"/>
          <c:order val="2"/>
          <c:tx>
            <c:strRef>
              <c:f>四大类型及案由前三!$D$55</c:f>
              <c:strCache>
                <c:ptCount val="1"/>
                <c:pt idx="0">
                  <c:v>离婚纠纷</c:v>
                </c:pt>
              </c:strCache>
            </c:strRef>
          </c:tx>
          <c:spPr>
            <a:ln>
              <a:solidFill>
                <a:schemeClr val="accent3">
                  <a:lumMod val="50000"/>
                </a:schemeClr>
              </a:solidFill>
            </a:ln>
          </c:spPr>
          <c:marker>
            <c:spPr>
              <a:solidFill>
                <a:schemeClr val="accent3">
                  <a:lumMod val="50000"/>
                </a:schemeClr>
              </a:solidFill>
            </c:spPr>
          </c:marker>
          <c:cat>
            <c:strRef>
              <c:f>四大类型及案由前三!$A$56:$A$65</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四大类型及案由前三!$D$56:$D$65</c:f>
              <c:numCache>
                <c:formatCode>General</c:formatCode>
                <c:ptCount val="10"/>
                <c:pt idx="0">
                  <c:v>33</c:v>
                </c:pt>
                <c:pt idx="1">
                  <c:v>24</c:v>
                </c:pt>
                <c:pt idx="2">
                  <c:v>34</c:v>
                </c:pt>
                <c:pt idx="3">
                  <c:v>24</c:v>
                </c:pt>
                <c:pt idx="4">
                  <c:v>34</c:v>
                </c:pt>
                <c:pt idx="5">
                  <c:v>69</c:v>
                </c:pt>
                <c:pt idx="6">
                  <c:v>137</c:v>
                </c:pt>
                <c:pt idx="7">
                  <c:v>156</c:v>
                </c:pt>
                <c:pt idx="8">
                  <c:v>137</c:v>
                </c:pt>
                <c:pt idx="9">
                  <c:v>111</c:v>
                </c:pt>
              </c:numCache>
            </c:numRef>
          </c:val>
          <c:smooth val="1"/>
        </c:ser>
        <c:marker val="1"/>
        <c:axId val="137729920"/>
        <c:axId val="137068544"/>
      </c:lineChart>
      <c:catAx>
        <c:axId val="137729920"/>
        <c:scaling>
          <c:orientation val="minMax"/>
        </c:scaling>
        <c:axPos val="b"/>
        <c:numFmt formatCode="General" sourceLinked="1"/>
        <c:majorTickMark val="none"/>
        <c:tickLblPos val="nextTo"/>
        <c:crossAx val="137068544"/>
        <c:crosses val="autoZero"/>
        <c:auto val="1"/>
        <c:lblAlgn val="ctr"/>
        <c:lblOffset val="100"/>
      </c:catAx>
      <c:valAx>
        <c:axId val="137068544"/>
        <c:scaling>
          <c:orientation val="minMax"/>
        </c:scaling>
        <c:axPos val="l"/>
        <c:majorGridlines/>
        <c:numFmt formatCode="General" sourceLinked="1"/>
        <c:majorTickMark val="none"/>
        <c:tickLblPos val="nextTo"/>
        <c:crossAx val="137729920"/>
        <c:crosses val="autoZero"/>
        <c:crossBetween val="between"/>
      </c:valAx>
    </c:plotArea>
    <c:legend>
      <c:legendPos val="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style val="5"/>
  <c:chart>
    <c:plotArea>
      <c:layout>
        <c:manualLayout>
          <c:layoutTarget val="inner"/>
          <c:xMode val="edge"/>
          <c:yMode val="edge"/>
          <c:x val="0.15300174978127942"/>
          <c:y val="0.18759628949579843"/>
          <c:w val="0.46348403324585208"/>
          <c:h val="0.77306998730063992"/>
        </c:manualLayout>
      </c:layout>
      <c:doughnutChart>
        <c:varyColors val="1"/>
        <c:ser>
          <c:idx val="0"/>
          <c:order val="0"/>
          <c:explosion val="25"/>
          <c:dPt>
            <c:idx val="0"/>
            <c:spPr>
              <a:solidFill>
                <a:srgbClr val="008080"/>
              </a:solidFill>
            </c:spPr>
          </c:dPt>
          <c:dPt>
            <c:idx val="1"/>
            <c:spPr>
              <a:solidFill>
                <a:srgbClr val="339933"/>
              </a:solidFill>
            </c:spPr>
          </c:dPt>
          <c:dPt>
            <c:idx val="3"/>
            <c:spPr>
              <a:solidFill>
                <a:schemeClr val="accent3">
                  <a:lumMod val="40000"/>
                  <a:lumOff val="60000"/>
                </a:schemeClr>
              </a:solidFill>
            </c:spPr>
          </c:dPt>
          <c:dPt>
            <c:idx val="4"/>
            <c:spPr>
              <a:solidFill>
                <a:srgbClr val="00B0F0"/>
              </a:solidFill>
            </c:spPr>
          </c:dPt>
          <c:dPt>
            <c:idx val="5"/>
            <c:spPr>
              <a:solidFill>
                <a:srgbClr val="0070C0"/>
              </a:solidFill>
            </c:spPr>
          </c:dPt>
          <c:dLbls>
            <c:dLbl>
              <c:idx val="3"/>
              <c:layout>
                <c:manualLayout>
                  <c:x val="-3.1818818471357403E-2"/>
                  <c:y val="-1.7611111111111123E-2"/>
                </c:manualLayout>
              </c:layout>
              <c:showVal val="1"/>
            </c:dLbl>
            <c:dLbl>
              <c:idx val="4"/>
              <c:layout>
                <c:manualLayout>
                  <c:x val="3.0935808197989486E-3"/>
                  <c:y val="3.333333333333334E-2"/>
                </c:manualLayout>
              </c:layout>
              <c:showVal val="1"/>
            </c:dLbl>
            <c:dLbl>
              <c:idx val="5"/>
              <c:layout>
                <c:manualLayout>
                  <c:x val="8.3334246792238307E-3"/>
                  <c:y val="-5.004286964129484E-2"/>
                </c:manualLayout>
              </c:layout>
              <c:showVal val="1"/>
            </c:dLbl>
            <c:showVal val="1"/>
            <c:showLeaderLines val="1"/>
          </c:dLbls>
          <c:cat>
            <c:strRef>
              <c:f>结案方式2!$A$10:$A$15</c:f>
              <c:strCache>
                <c:ptCount val="6"/>
                <c:pt idx="0">
                  <c:v>判决</c:v>
                </c:pt>
                <c:pt idx="1">
                  <c:v>调解</c:v>
                </c:pt>
                <c:pt idx="2">
                  <c:v>撤诉</c:v>
                </c:pt>
                <c:pt idx="3">
                  <c:v>移送</c:v>
                </c:pt>
                <c:pt idx="4">
                  <c:v>裁定驳回起诉</c:v>
                </c:pt>
                <c:pt idx="5">
                  <c:v>其他结案方式</c:v>
                </c:pt>
              </c:strCache>
            </c:strRef>
          </c:cat>
          <c:val>
            <c:numRef>
              <c:f>结案方式2!$B$10:$B$15</c:f>
              <c:numCache>
                <c:formatCode>0_ </c:formatCode>
                <c:ptCount val="6"/>
                <c:pt idx="0">
                  <c:v>3191</c:v>
                </c:pt>
                <c:pt idx="1">
                  <c:v>2079</c:v>
                </c:pt>
                <c:pt idx="2">
                  <c:v>3104</c:v>
                </c:pt>
                <c:pt idx="3">
                  <c:v>290</c:v>
                </c:pt>
                <c:pt idx="4">
                  <c:v>245</c:v>
                </c:pt>
                <c:pt idx="5">
                  <c:v>253</c:v>
                </c:pt>
              </c:numCache>
            </c:numRef>
          </c:val>
        </c:ser>
        <c:firstSliceAng val="0"/>
        <c:holeSize val="50"/>
      </c:doughnutChart>
    </c:plotArea>
    <c:legend>
      <c:legendPos val="r"/>
    </c:legend>
    <c:plotVisOnly val="1"/>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style val="5"/>
  <c:chart>
    <c:title>
      <c:tx>
        <c:rich>
          <a:bodyPr/>
          <a:lstStyle/>
          <a:p>
            <a:pPr>
              <a:defRPr/>
            </a:pPr>
            <a:r>
              <a:rPr lang="zh-CN" altLang="en-US" sz="1200"/>
              <a:t>图七：</a:t>
            </a:r>
            <a:r>
              <a:rPr lang="en-US" sz="1200"/>
              <a:t>2011-2020</a:t>
            </a:r>
            <a:r>
              <a:rPr lang="zh-CN" sz="1200"/>
              <a:t>年涉老民事案件调撤率</a:t>
            </a:r>
          </a:p>
        </c:rich>
      </c:tx>
      <c:layout>
        <c:manualLayout>
          <c:xMode val="edge"/>
          <c:yMode val="edge"/>
          <c:x val="0.24338188976377953"/>
          <c:y val="2.7777777777778682E-2"/>
        </c:manualLayout>
      </c:layout>
    </c:title>
    <c:plotArea>
      <c:layout/>
      <c:lineChart>
        <c:grouping val="stacked"/>
        <c:ser>
          <c:idx val="0"/>
          <c:order val="0"/>
          <c:tx>
            <c:strRef>
              <c:f>结案方式分析!$P$4</c:f>
              <c:strCache>
                <c:ptCount val="1"/>
                <c:pt idx="0">
                  <c:v>调撤率</c:v>
                </c:pt>
              </c:strCache>
            </c:strRef>
          </c:tx>
          <c:dLbls>
            <c:dLbl>
              <c:idx val="0"/>
              <c:layout>
                <c:manualLayout>
                  <c:x val="-3.888888888888889E-2"/>
                  <c:y val="-2.7777777777778682E-2"/>
                </c:manualLayout>
              </c:layout>
              <c:showVal val="1"/>
            </c:dLbl>
            <c:dLbl>
              <c:idx val="1"/>
              <c:layout>
                <c:manualLayout>
                  <c:x val="-3.8888888888888862E-2"/>
                  <c:y val="4.1666666666666664E-2"/>
                </c:manualLayout>
              </c:layout>
              <c:showVal val="1"/>
            </c:dLbl>
            <c:dLbl>
              <c:idx val="2"/>
              <c:layout>
                <c:manualLayout>
                  <c:x val="-4.7222222222222332E-2"/>
                  <c:y val="-3.7037037037037056E-2"/>
                </c:manualLayout>
              </c:layout>
              <c:showVal val="1"/>
            </c:dLbl>
            <c:dLbl>
              <c:idx val="3"/>
              <c:layout>
                <c:manualLayout>
                  <c:x val="-5.8333333333334438E-2"/>
                  <c:y val="-4.1666666666666664E-2"/>
                </c:manualLayout>
              </c:layout>
              <c:showVal val="1"/>
            </c:dLbl>
            <c:dLbl>
              <c:idx val="4"/>
              <c:layout>
                <c:manualLayout>
                  <c:x val="-4.1666666666666623E-2"/>
                  <c:y val="-3.7037037037037056E-2"/>
                </c:manualLayout>
              </c:layout>
              <c:showVal val="1"/>
            </c:dLbl>
            <c:dLbl>
              <c:idx val="5"/>
              <c:layout>
                <c:manualLayout>
                  <c:x val="-1.1111111111111125E-2"/>
                  <c:y val="1.38888888888892E-2"/>
                </c:manualLayout>
              </c:layout>
              <c:showVal val="1"/>
            </c:dLbl>
            <c:dLbl>
              <c:idx val="6"/>
              <c:layout>
                <c:manualLayout>
                  <c:x val="-4.7222222222222332E-2"/>
                  <c:y val="-3.7037037037037056E-2"/>
                </c:manualLayout>
              </c:layout>
              <c:showVal val="1"/>
            </c:dLbl>
            <c:dLbl>
              <c:idx val="7"/>
              <c:layout>
                <c:manualLayout>
                  <c:x val="-4.4444444444444502E-2"/>
                  <c:y val="-4.1666666666666664E-2"/>
                </c:manualLayout>
              </c:layout>
              <c:showVal val="1"/>
            </c:dLbl>
            <c:dLbl>
              <c:idx val="8"/>
              <c:layout>
                <c:manualLayout>
                  <c:x val="-3.333333333333334E-2"/>
                  <c:y val="-3.2407407407408106E-2"/>
                </c:manualLayout>
              </c:layout>
              <c:showVal val="1"/>
            </c:dLbl>
            <c:dLbl>
              <c:idx val="9"/>
              <c:layout>
                <c:manualLayout>
                  <c:x val="-1.9444444444444445E-2"/>
                  <c:y val="-3.2407407407408106E-2"/>
                </c:manualLayout>
              </c:layout>
              <c:showVal val="1"/>
            </c:dLbl>
            <c:txPr>
              <a:bodyPr/>
              <a:lstStyle/>
              <a:p>
                <a:pPr>
                  <a:defRPr sz="800" baseline="0"/>
                </a:pPr>
                <a:endParaRPr lang="zh-CN"/>
              </a:p>
            </c:txPr>
            <c:showVal val="1"/>
          </c:dLbls>
          <c:cat>
            <c:strRef>
              <c:f>结案方式分析!$O$5:$O$14</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结案方式分析!$P$5:$P$14</c:f>
              <c:numCache>
                <c:formatCode>0.0%</c:formatCode>
                <c:ptCount val="10"/>
                <c:pt idx="0">
                  <c:v>0.55504587155964036</c:v>
                </c:pt>
                <c:pt idx="1">
                  <c:v>0.52106430155210648</c:v>
                </c:pt>
                <c:pt idx="2">
                  <c:v>0.55834829443448075</c:v>
                </c:pt>
                <c:pt idx="3">
                  <c:v>0.58069883527454935</c:v>
                </c:pt>
                <c:pt idx="4">
                  <c:v>0.55898123324396864</c:v>
                </c:pt>
                <c:pt idx="5">
                  <c:v>0.47064777327935647</c:v>
                </c:pt>
                <c:pt idx="6">
                  <c:v>0.58401792382374162</c:v>
                </c:pt>
                <c:pt idx="7">
                  <c:v>0.61533052039381164</c:v>
                </c:pt>
                <c:pt idx="8">
                  <c:v>0.58282623394185251</c:v>
                </c:pt>
                <c:pt idx="9">
                  <c:v>0.56430446194224848</c:v>
                </c:pt>
              </c:numCache>
            </c:numRef>
          </c:val>
        </c:ser>
        <c:marker val="1"/>
        <c:axId val="137778304"/>
        <c:axId val="137779840"/>
      </c:lineChart>
      <c:catAx>
        <c:axId val="137778304"/>
        <c:scaling>
          <c:orientation val="minMax"/>
        </c:scaling>
        <c:axPos val="b"/>
        <c:tickLblPos val="nextTo"/>
        <c:crossAx val="137779840"/>
        <c:crosses val="autoZero"/>
        <c:auto val="1"/>
        <c:lblAlgn val="ctr"/>
        <c:lblOffset val="100"/>
      </c:catAx>
      <c:valAx>
        <c:axId val="137779840"/>
        <c:scaling>
          <c:orientation val="minMax"/>
        </c:scaling>
        <c:axPos val="l"/>
        <c:majorGridlines/>
        <c:numFmt formatCode="0.0%" sourceLinked="1"/>
        <c:tickLblPos val="nextTo"/>
        <c:crossAx val="137778304"/>
        <c:crosses val="autoZero"/>
        <c:crossBetween val="between"/>
      </c:valAx>
    </c:plotArea>
    <c:legend>
      <c:legendPos val="r"/>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style val="5"/>
  <c:chart>
    <c:title>
      <c:tx>
        <c:rich>
          <a:bodyPr/>
          <a:lstStyle/>
          <a:p>
            <a:pPr>
              <a:defRPr/>
            </a:pPr>
            <a:r>
              <a:rPr lang="zh-CN" altLang="en-US" sz="1200"/>
              <a:t>图八：</a:t>
            </a:r>
            <a:r>
              <a:rPr lang="en-US" altLang="zh-CN" sz="1200"/>
              <a:t>2012-2020</a:t>
            </a:r>
            <a:r>
              <a:rPr lang="zh-CN" altLang="en-US" sz="1200"/>
              <a:t>年原、被告涉老人数对比</a:t>
            </a:r>
          </a:p>
        </c:rich>
      </c:tx>
      <c:layout>
        <c:manualLayout>
          <c:xMode val="edge"/>
          <c:yMode val="edge"/>
          <c:x val="0.19215266841644787"/>
          <c:y val="2.7777777777778699E-2"/>
        </c:manualLayout>
      </c:layout>
    </c:title>
    <c:plotArea>
      <c:layout/>
      <c:barChart>
        <c:barDir val="col"/>
        <c:grouping val="clustered"/>
        <c:ser>
          <c:idx val="0"/>
          <c:order val="0"/>
          <c:tx>
            <c:strRef>
              <c:f>年纪情况!$B$15</c:f>
              <c:strCache>
                <c:ptCount val="1"/>
                <c:pt idx="0">
                  <c:v>原告</c:v>
                </c:pt>
              </c:strCache>
            </c:strRef>
          </c:tx>
          <c:dLbls>
            <c:txPr>
              <a:bodyPr/>
              <a:lstStyle/>
              <a:p>
                <a:pPr>
                  <a:defRPr sz="700" baseline="0"/>
                </a:pPr>
                <a:endParaRPr lang="zh-CN"/>
              </a:p>
            </c:txPr>
            <c:showVal val="1"/>
          </c:dLbls>
          <c:cat>
            <c:strRef>
              <c:f>年纪情况!$A$16:$A$24</c:f>
              <c:strCache>
                <c:ptCount val="9"/>
                <c:pt idx="0">
                  <c:v>2012年</c:v>
                </c:pt>
                <c:pt idx="1">
                  <c:v>2013年</c:v>
                </c:pt>
                <c:pt idx="2">
                  <c:v>2014年</c:v>
                </c:pt>
                <c:pt idx="3">
                  <c:v>2015年</c:v>
                </c:pt>
                <c:pt idx="4">
                  <c:v>2016年</c:v>
                </c:pt>
                <c:pt idx="5">
                  <c:v>2017年</c:v>
                </c:pt>
                <c:pt idx="6">
                  <c:v>2018年</c:v>
                </c:pt>
                <c:pt idx="7">
                  <c:v>2019年</c:v>
                </c:pt>
                <c:pt idx="8">
                  <c:v>2020年</c:v>
                </c:pt>
              </c:strCache>
            </c:strRef>
          </c:cat>
          <c:val>
            <c:numRef>
              <c:f>年纪情况!$B$16:$B$24</c:f>
              <c:numCache>
                <c:formatCode>General</c:formatCode>
                <c:ptCount val="9"/>
                <c:pt idx="0">
                  <c:v>228</c:v>
                </c:pt>
                <c:pt idx="1">
                  <c:v>228</c:v>
                </c:pt>
                <c:pt idx="2">
                  <c:v>201</c:v>
                </c:pt>
                <c:pt idx="3">
                  <c:v>245</c:v>
                </c:pt>
                <c:pt idx="4">
                  <c:v>383</c:v>
                </c:pt>
                <c:pt idx="5">
                  <c:v>608</c:v>
                </c:pt>
                <c:pt idx="6">
                  <c:v>638</c:v>
                </c:pt>
                <c:pt idx="7">
                  <c:v>621</c:v>
                </c:pt>
                <c:pt idx="8">
                  <c:v>508</c:v>
                </c:pt>
              </c:numCache>
            </c:numRef>
          </c:val>
        </c:ser>
        <c:ser>
          <c:idx val="1"/>
          <c:order val="1"/>
          <c:tx>
            <c:strRef>
              <c:f>年纪情况!$C$15</c:f>
              <c:strCache>
                <c:ptCount val="1"/>
                <c:pt idx="0">
                  <c:v>被告</c:v>
                </c:pt>
              </c:strCache>
            </c:strRef>
          </c:tx>
          <c:dLbls>
            <c:dLbl>
              <c:idx val="0"/>
              <c:layout>
                <c:manualLayout>
                  <c:x val="8.3333333333333367E-3"/>
                  <c:y val="0"/>
                </c:manualLayout>
              </c:layout>
              <c:showVal val="1"/>
            </c:dLbl>
            <c:dLbl>
              <c:idx val="1"/>
              <c:layout>
                <c:manualLayout>
                  <c:x val="-2.546266881604169E-17"/>
                  <c:y val="1.3888888888889169E-2"/>
                </c:manualLayout>
              </c:layout>
              <c:showVal val="1"/>
            </c:dLbl>
            <c:dLbl>
              <c:idx val="7"/>
              <c:layout>
                <c:manualLayout>
                  <c:x val="5.5555555555556555E-3"/>
                  <c:y val="0"/>
                </c:manualLayout>
              </c:layout>
              <c:showVal val="1"/>
            </c:dLbl>
            <c:dLbl>
              <c:idx val="8"/>
              <c:layout>
                <c:manualLayout>
                  <c:x val="8.3333333333333367E-3"/>
                  <c:y val="0"/>
                </c:manualLayout>
              </c:layout>
              <c:showVal val="1"/>
            </c:dLbl>
            <c:txPr>
              <a:bodyPr/>
              <a:lstStyle/>
              <a:p>
                <a:pPr>
                  <a:defRPr sz="700" baseline="0"/>
                </a:pPr>
                <a:endParaRPr lang="zh-CN"/>
              </a:p>
            </c:txPr>
            <c:showVal val="1"/>
          </c:dLbls>
          <c:cat>
            <c:strRef>
              <c:f>年纪情况!$A$16:$A$24</c:f>
              <c:strCache>
                <c:ptCount val="9"/>
                <c:pt idx="0">
                  <c:v>2012年</c:v>
                </c:pt>
                <c:pt idx="1">
                  <c:v>2013年</c:v>
                </c:pt>
                <c:pt idx="2">
                  <c:v>2014年</c:v>
                </c:pt>
                <c:pt idx="3">
                  <c:v>2015年</c:v>
                </c:pt>
                <c:pt idx="4">
                  <c:v>2016年</c:v>
                </c:pt>
                <c:pt idx="5">
                  <c:v>2017年</c:v>
                </c:pt>
                <c:pt idx="6">
                  <c:v>2018年</c:v>
                </c:pt>
                <c:pt idx="7">
                  <c:v>2019年</c:v>
                </c:pt>
                <c:pt idx="8">
                  <c:v>2020年</c:v>
                </c:pt>
              </c:strCache>
            </c:strRef>
          </c:cat>
          <c:val>
            <c:numRef>
              <c:f>年纪情况!$C$16:$C$24</c:f>
              <c:numCache>
                <c:formatCode>General</c:formatCode>
                <c:ptCount val="9"/>
                <c:pt idx="0">
                  <c:v>165</c:v>
                </c:pt>
                <c:pt idx="1">
                  <c:v>217</c:v>
                </c:pt>
                <c:pt idx="2">
                  <c:v>265</c:v>
                </c:pt>
                <c:pt idx="3">
                  <c:v>456</c:v>
                </c:pt>
                <c:pt idx="4">
                  <c:v>346</c:v>
                </c:pt>
                <c:pt idx="5">
                  <c:v>335</c:v>
                </c:pt>
                <c:pt idx="6">
                  <c:v>356</c:v>
                </c:pt>
                <c:pt idx="7">
                  <c:v>393</c:v>
                </c:pt>
                <c:pt idx="8">
                  <c:v>303</c:v>
                </c:pt>
              </c:numCache>
            </c:numRef>
          </c:val>
        </c:ser>
        <c:axId val="137846784"/>
        <c:axId val="137848320"/>
      </c:barChart>
      <c:catAx>
        <c:axId val="137846784"/>
        <c:scaling>
          <c:orientation val="minMax"/>
        </c:scaling>
        <c:axPos val="b"/>
        <c:majorTickMark val="none"/>
        <c:tickLblPos val="nextTo"/>
        <c:crossAx val="137848320"/>
        <c:crosses val="autoZero"/>
        <c:auto val="1"/>
        <c:lblAlgn val="ctr"/>
        <c:lblOffset val="100"/>
      </c:catAx>
      <c:valAx>
        <c:axId val="137848320"/>
        <c:scaling>
          <c:orientation val="minMax"/>
        </c:scaling>
        <c:axPos val="l"/>
        <c:majorGridlines/>
        <c:numFmt formatCode="General" sourceLinked="1"/>
        <c:majorTickMark val="none"/>
        <c:tickLblPos val="nextTo"/>
        <c:crossAx val="137846784"/>
        <c:crosses val="autoZero"/>
        <c:crossBetween val="between"/>
      </c:valAx>
    </c:plotArea>
    <c:legend>
      <c:legendPos val="r"/>
    </c:legend>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0.36458</cdr:x>
      <cdr:y>0.48958</cdr:y>
    </cdr:from>
    <cdr:to>
      <cdr:x>0.5125</cdr:x>
      <cdr:y>0.64583</cdr:y>
    </cdr:to>
    <cdr:sp macro="" textlink="">
      <cdr:nvSpPr>
        <cdr:cNvPr id="2" name="TextBox 1"/>
        <cdr:cNvSpPr txBox="1"/>
      </cdr:nvSpPr>
      <cdr:spPr>
        <a:xfrm xmlns:a="http://schemas.openxmlformats.org/drawingml/2006/main">
          <a:off x="1666874" y="1343024"/>
          <a:ext cx="676275" cy="4286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altLang="zh-CN" sz="1600" i="1">
              <a:latin typeface="Impact" pitchFamily="34" charset="0"/>
              <a:ea typeface="Gungsuh" pitchFamily="18" charset="-127"/>
              <a:cs typeface="Aharoni" pitchFamily="2" charset="-79"/>
            </a:rPr>
            <a:t>9381</a:t>
          </a:r>
          <a:endParaRPr lang="zh-CN" altLang="en-US" sz="1600" i="1">
            <a:latin typeface="Impact" pitchFamily="34" charset="0"/>
            <a:ea typeface="Gungsuh" pitchFamily="18" charset="-127"/>
            <a:cs typeface="Aharoni" pitchFamily="2" charset="-79"/>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0.39718</cdr:x>
      <cdr:y>0.75279</cdr:y>
    </cdr:from>
    <cdr:to>
      <cdr:x>0.5076</cdr:x>
      <cdr:y>0.79619</cdr:y>
    </cdr:to>
    <cdr:sp macro="" textlink="">
      <cdr:nvSpPr>
        <cdr:cNvPr id="2" name="TextBox 11"/>
        <cdr:cNvSpPr txBox="1"/>
      </cdr:nvSpPr>
      <cdr:spPr>
        <a:xfrm xmlns:a="http://schemas.openxmlformats.org/drawingml/2006/main">
          <a:off x="1707945" y="2422002"/>
          <a:ext cx="474810" cy="139611"/>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altLang="zh-CN" sz="500"/>
            <a:t>2018</a:t>
          </a:r>
          <a:r>
            <a:rPr lang="zh-CN" altLang="en-US" sz="500"/>
            <a:t>年</a:t>
          </a:r>
        </a:p>
      </cdr:txBody>
    </cdr:sp>
  </cdr:relSizeAnchor>
  <cdr:relSizeAnchor xmlns:cdr="http://schemas.openxmlformats.org/drawingml/2006/chartDrawing">
    <cdr:from>
      <cdr:x>0.39878</cdr:x>
      <cdr:y>0.72342</cdr:y>
    </cdr:from>
    <cdr:to>
      <cdr:x>0.50919</cdr:x>
      <cdr:y>0.76008</cdr:y>
    </cdr:to>
    <cdr:sp macro="" textlink="">
      <cdr:nvSpPr>
        <cdr:cNvPr id="3" name="TextBox 11"/>
        <cdr:cNvSpPr txBox="1"/>
      </cdr:nvSpPr>
      <cdr:spPr>
        <a:xfrm xmlns:a="http://schemas.openxmlformats.org/drawingml/2006/main">
          <a:off x="1714809" y="2327506"/>
          <a:ext cx="474809" cy="117957"/>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500"/>
            <a:t>2017</a:t>
          </a:r>
          <a:r>
            <a:rPr lang="zh-CN" altLang="en-US" sz="500"/>
            <a:t>年</a:t>
          </a:r>
        </a:p>
      </cdr:txBody>
    </cdr:sp>
  </cdr:relSizeAnchor>
  <cdr:relSizeAnchor xmlns:cdr="http://schemas.openxmlformats.org/drawingml/2006/chartDrawing">
    <cdr:from>
      <cdr:x>0.39617</cdr:x>
      <cdr:y>0.68701</cdr:y>
    </cdr:from>
    <cdr:to>
      <cdr:x>0.50659</cdr:x>
      <cdr:y>0.73909</cdr:y>
    </cdr:to>
    <cdr:sp macro="" textlink="">
      <cdr:nvSpPr>
        <cdr:cNvPr id="4" name="TextBox 11"/>
        <cdr:cNvSpPr txBox="1"/>
      </cdr:nvSpPr>
      <cdr:spPr>
        <a:xfrm xmlns:a="http://schemas.openxmlformats.org/drawingml/2006/main">
          <a:off x="1703596" y="2210343"/>
          <a:ext cx="474810" cy="167570"/>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500"/>
            <a:t>2016</a:t>
          </a:r>
          <a:r>
            <a:rPr lang="zh-CN" altLang="en-US" sz="500"/>
            <a:t>年</a:t>
          </a:r>
        </a:p>
      </cdr:txBody>
    </cdr:sp>
  </cdr:relSizeAnchor>
  <cdr:relSizeAnchor xmlns:cdr="http://schemas.openxmlformats.org/drawingml/2006/chartDrawing">
    <cdr:from>
      <cdr:x>0.39602</cdr:x>
      <cdr:y>0.61983</cdr:y>
    </cdr:from>
    <cdr:to>
      <cdr:x>0.52738</cdr:x>
      <cdr:y>0.65967</cdr:y>
    </cdr:to>
    <cdr:sp macro="" textlink="">
      <cdr:nvSpPr>
        <cdr:cNvPr id="5" name="TextBox 11"/>
        <cdr:cNvSpPr txBox="1"/>
      </cdr:nvSpPr>
      <cdr:spPr>
        <a:xfrm xmlns:a="http://schemas.openxmlformats.org/drawingml/2006/main">
          <a:off x="1702940" y="1994220"/>
          <a:ext cx="564875" cy="128176"/>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500"/>
            <a:t>2014</a:t>
          </a:r>
          <a:r>
            <a:rPr lang="zh-CN" altLang="en-US" sz="500"/>
            <a:t>年</a:t>
          </a:r>
        </a:p>
      </cdr:txBody>
    </cdr:sp>
  </cdr:relSizeAnchor>
  <cdr:relSizeAnchor xmlns:cdr="http://schemas.openxmlformats.org/drawingml/2006/chartDrawing">
    <cdr:from>
      <cdr:x>0.39504</cdr:x>
      <cdr:y>0.58907</cdr:y>
    </cdr:from>
    <cdr:to>
      <cdr:x>0.50546</cdr:x>
      <cdr:y>0.63222</cdr:y>
    </cdr:to>
    <cdr:sp macro="" textlink="">
      <cdr:nvSpPr>
        <cdr:cNvPr id="7" name="TextBox 11"/>
        <cdr:cNvSpPr txBox="1"/>
      </cdr:nvSpPr>
      <cdr:spPr>
        <a:xfrm xmlns:a="http://schemas.openxmlformats.org/drawingml/2006/main">
          <a:off x="1698751" y="1895260"/>
          <a:ext cx="474810" cy="138813"/>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500"/>
            <a:t>2013</a:t>
          </a:r>
          <a:r>
            <a:rPr lang="zh-CN" altLang="en-US" sz="500"/>
            <a:t>年</a:t>
          </a:r>
        </a:p>
      </cdr:txBody>
    </cdr:sp>
  </cdr:relSizeAnchor>
  <cdr:relSizeAnchor xmlns:cdr="http://schemas.openxmlformats.org/drawingml/2006/chartDrawing">
    <cdr:from>
      <cdr:x>0.39621</cdr:x>
      <cdr:y>0.55409</cdr:y>
    </cdr:from>
    <cdr:to>
      <cdr:x>0.50663</cdr:x>
      <cdr:y>0.60618</cdr:y>
    </cdr:to>
    <cdr:sp macro="" textlink="">
      <cdr:nvSpPr>
        <cdr:cNvPr id="8" name="TextBox 11"/>
        <cdr:cNvSpPr txBox="1"/>
      </cdr:nvSpPr>
      <cdr:spPr>
        <a:xfrm xmlns:a="http://schemas.openxmlformats.org/drawingml/2006/main">
          <a:off x="1703767" y="1782718"/>
          <a:ext cx="474808" cy="167571"/>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500"/>
            <a:t>2012</a:t>
          </a:r>
          <a:r>
            <a:rPr lang="zh-CN" altLang="en-US" sz="500"/>
            <a:t>年</a:t>
          </a:r>
        </a:p>
      </cdr:txBody>
    </cdr:sp>
  </cdr:relSizeAnchor>
  <cdr:relSizeAnchor xmlns:cdr="http://schemas.openxmlformats.org/drawingml/2006/chartDrawing">
    <cdr:from>
      <cdr:x>0.39714</cdr:x>
      <cdr:y>0.65606</cdr:y>
    </cdr:from>
    <cdr:to>
      <cdr:x>0.50989</cdr:x>
      <cdr:y>0.67983</cdr:y>
    </cdr:to>
    <cdr:sp macro="" textlink="">
      <cdr:nvSpPr>
        <cdr:cNvPr id="10" name="TextBox 11"/>
        <cdr:cNvSpPr txBox="1"/>
      </cdr:nvSpPr>
      <cdr:spPr>
        <a:xfrm xmlns:a="http://schemas.openxmlformats.org/drawingml/2006/main">
          <a:off x="1707781" y="2110774"/>
          <a:ext cx="484825" cy="76486"/>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altLang="zh-CN" sz="500"/>
            <a:t>2015</a:t>
          </a:r>
          <a:r>
            <a:rPr lang="zh-CN" altLang="en-US" sz="500"/>
            <a:t>年</a:t>
          </a:r>
        </a:p>
      </cdr:txBody>
    </cdr:sp>
  </cdr:relSizeAnchor>
  <cdr:relSizeAnchor xmlns:cdr="http://schemas.openxmlformats.org/drawingml/2006/chartDrawing">
    <cdr:from>
      <cdr:x>0.397</cdr:x>
      <cdr:y>0.78867</cdr:y>
    </cdr:from>
    <cdr:to>
      <cdr:x>0.52675</cdr:x>
      <cdr:y>0.81787</cdr:y>
    </cdr:to>
    <cdr:sp macro="" textlink="">
      <cdr:nvSpPr>
        <cdr:cNvPr id="11" name="TextBox 11"/>
        <cdr:cNvSpPr txBox="1"/>
      </cdr:nvSpPr>
      <cdr:spPr>
        <a:xfrm xmlns:a="http://schemas.openxmlformats.org/drawingml/2006/main">
          <a:off x="1707181" y="2537431"/>
          <a:ext cx="557945" cy="93955"/>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altLang="zh-CN" sz="500"/>
            <a:t>2019</a:t>
          </a:r>
          <a:r>
            <a:rPr lang="zh-CN" altLang="en-US" sz="500"/>
            <a:t>年</a:t>
          </a:r>
        </a:p>
      </cdr:txBody>
    </cdr:sp>
  </cdr:relSizeAnchor>
  <cdr:relSizeAnchor xmlns:cdr="http://schemas.openxmlformats.org/drawingml/2006/chartDrawing">
    <cdr:from>
      <cdr:x>0.39995</cdr:x>
      <cdr:y>0.82687</cdr:y>
    </cdr:from>
    <cdr:to>
      <cdr:x>0.51037</cdr:x>
      <cdr:y>0.84535</cdr:y>
    </cdr:to>
    <cdr:sp macro="" textlink="">
      <cdr:nvSpPr>
        <cdr:cNvPr id="12" name="TextBox 11"/>
        <cdr:cNvSpPr txBox="1"/>
      </cdr:nvSpPr>
      <cdr:spPr>
        <a:xfrm xmlns:a="http://schemas.openxmlformats.org/drawingml/2006/main">
          <a:off x="1719856" y="2660328"/>
          <a:ext cx="474809" cy="59476"/>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altLang="zh-CN" sz="500"/>
            <a:t>2020</a:t>
          </a:r>
          <a:r>
            <a:rPr lang="zh-CN" altLang="en-US" sz="500"/>
            <a:t>年</a:t>
          </a:r>
        </a:p>
      </cdr:txBody>
    </cdr:sp>
  </cdr:relSizeAnchor>
  <cdr:relSizeAnchor xmlns:cdr="http://schemas.openxmlformats.org/drawingml/2006/chartDrawing">
    <cdr:from>
      <cdr:x>0.11129</cdr:x>
      <cdr:y>0</cdr:y>
    </cdr:from>
    <cdr:to>
      <cdr:x>0.71607</cdr:x>
      <cdr:y>0.09479</cdr:y>
    </cdr:to>
    <cdr:sp macro="" textlink="">
      <cdr:nvSpPr>
        <cdr:cNvPr id="13" name="TextBox 12"/>
        <cdr:cNvSpPr txBox="1"/>
      </cdr:nvSpPr>
      <cdr:spPr>
        <a:xfrm xmlns:a="http://schemas.openxmlformats.org/drawingml/2006/main">
          <a:off x="478582" y="0"/>
          <a:ext cx="2600646" cy="2741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zh-CN" altLang="en-US" sz="1200" b="1"/>
            <a:t>图四：</a:t>
          </a:r>
          <a:r>
            <a:rPr lang="en-US" altLang="zh-CN" sz="1200" b="1"/>
            <a:t>2011-2020</a:t>
          </a:r>
          <a:r>
            <a:rPr lang="zh-CN" altLang="en-US" sz="1200" b="1"/>
            <a:t>年合同类案件比例</a:t>
          </a:r>
        </a:p>
      </cdr:txBody>
    </cdr:sp>
  </cdr:relSizeAnchor>
  <cdr:relSizeAnchor xmlns:cdr="http://schemas.openxmlformats.org/drawingml/2006/chartDrawing">
    <cdr:from>
      <cdr:x>0.39531</cdr:x>
      <cdr:y>0.52179</cdr:y>
    </cdr:from>
    <cdr:to>
      <cdr:x>0.50573</cdr:x>
      <cdr:y>0.55625</cdr:y>
    </cdr:to>
    <cdr:sp macro="" textlink="">
      <cdr:nvSpPr>
        <cdr:cNvPr id="14" name="TextBox 11"/>
        <cdr:cNvSpPr txBox="1"/>
      </cdr:nvSpPr>
      <cdr:spPr>
        <a:xfrm xmlns:a="http://schemas.openxmlformats.org/drawingml/2006/main">
          <a:off x="1701947" y="1680806"/>
          <a:ext cx="475391" cy="110996"/>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altLang="zh-CN" sz="500"/>
            <a:t>2011</a:t>
          </a:r>
          <a:r>
            <a:rPr lang="zh-CN" altLang="en-US" sz="500"/>
            <a:t>年</a:t>
          </a:r>
        </a:p>
      </cdr:txBody>
    </cdr:sp>
  </cdr:relSizeAnchor>
</c:userShapes>
</file>

<file path=word/drawings/drawing3.xml><?xml version="1.0" encoding="utf-8"?>
<c:userShapes xmlns:c="http://schemas.openxmlformats.org/drawingml/2006/chart">
  <cdr:relSizeAnchor xmlns:cdr="http://schemas.openxmlformats.org/drawingml/2006/chartDrawing">
    <cdr:from>
      <cdr:x>0.09491</cdr:x>
      <cdr:y>0.01544</cdr:y>
    </cdr:from>
    <cdr:to>
      <cdr:x>0.942</cdr:x>
      <cdr:y>0.12917</cdr:y>
    </cdr:to>
    <cdr:sp macro="" textlink="">
      <cdr:nvSpPr>
        <cdr:cNvPr id="2" name="TextBox 1"/>
        <cdr:cNvSpPr txBox="1"/>
      </cdr:nvSpPr>
      <cdr:spPr>
        <a:xfrm xmlns:a="http://schemas.openxmlformats.org/drawingml/2006/main">
          <a:off x="389632" y="35296"/>
          <a:ext cx="3477518" cy="2599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zh-CN" altLang="en-US" sz="1200" b="1"/>
            <a:t>图六：</a:t>
          </a:r>
          <a:r>
            <a:rPr lang="en-US" altLang="zh-CN" sz="1200" b="1"/>
            <a:t>2011-2020</a:t>
          </a:r>
          <a:r>
            <a:rPr lang="zh-CN" altLang="en-US" sz="1200" b="1"/>
            <a:t>年涉老民事案件结案方式分析</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B43BF-CE2E-4C2A-9BA7-CFCDEB8D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40</Pages>
  <Words>3588</Words>
  <Characters>20454</Characters>
  <Application>Microsoft Office Word</Application>
  <DocSecurity>0</DocSecurity>
  <Lines>170</Lines>
  <Paragraphs>47</Paragraphs>
  <ScaleCrop>false</ScaleCrop>
  <Company>Microsoft</Company>
  <LinksUpToDate>false</LinksUpToDate>
  <CharactersWithSpaces>23995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JFT2014001</dc:creator>
  <cp:lastModifiedBy>user</cp:lastModifiedBy>
  <cp:revision>19</cp:revision>
  <cp:lastPrinted>2021-10-08T07:43:00Z</cp:lastPrinted>
  <dcterms:created xsi:type="dcterms:W3CDTF">2021-09-28T02:17:00Z</dcterms:created>
  <dcterms:modified xsi:type="dcterms:W3CDTF">2021-10-14T06:42:00Z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