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华文中宋" w:hAnsi="华文中宋" w:eastAsia="华文中宋" w:cs="华文中宋"/>
          <w:b w:val="0"/>
          <w:bCs/>
          <w:i w:val="0"/>
          <w:caps w:val="0"/>
          <w:color w:val="000000"/>
          <w:spacing w:val="0"/>
          <w:sz w:val="36"/>
          <w:szCs w:val="36"/>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华文中宋" w:hAnsi="华文中宋" w:eastAsia="华文中宋" w:cs="华文中宋"/>
          <w:b/>
          <w:bCs w:val="0"/>
          <w:i w:val="0"/>
          <w:caps w:val="0"/>
          <w:color w:val="000000"/>
          <w:spacing w:val="0"/>
          <w:sz w:val="44"/>
          <w:szCs w:val="44"/>
          <w:lang w:val="en-US" w:eastAsia="zh-CN"/>
        </w:rPr>
      </w:pPr>
      <w:r>
        <w:rPr>
          <w:rFonts w:hint="eastAsia" w:ascii="华文中宋" w:hAnsi="华文中宋" w:eastAsia="华文中宋" w:cs="华文中宋"/>
          <w:b/>
          <w:bCs w:val="0"/>
          <w:i w:val="0"/>
          <w:caps w:val="0"/>
          <w:color w:val="000000"/>
          <w:spacing w:val="0"/>
          <w:sz w:val="44"/>
          <w:szCs w:val="44"/>
          <w:lang w:val="en-US" w:eastAsia="zh-CN"/>
        </w:rPr>
        <w:t>上海知识产权法院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outlineLvl w:val="0"/>
        <w:rPr>
          <w:rFonts w:hint="default" w:ascii="华文中宋" w:hAnsi="华文中宋" w:eastAsia="华文中宋" w:cs="华文中宋"/>
          <w:b/>
          <w:bCs w:val="0"/>
          <w:i w:val="0"/>
          <w:caps w:val="0"/>
          <w:color w:val="000000"/>
          <w:spacing w:val="0"/>
          <w:sz w:val="44"/>
          <w:szCs w:val="44"/>
        </w:rPr>
      </w:pPr>
      <w:r>
        <w:rPr>
          <w:rFonts w:hint="eastAsia" w:ascii="华文中宋" w:hAnsi="华文中宋" w:eastAsia="华文中宋" w:cs="华文中宋"/>
          <w:b/>
          <w:bCs w:val="0"/>
          <w:i w:val="0"/>
          <w:caps w:val="0"/>
          <w:color w:val="000000"/>
          <w:spacing w:val="0"/>
          <w:sz w:val="44"/>
          <w:szCs w:val="44"/>
          <w:lang w:val="en-US" w:eastAsia="zh-CN"/>
        </w:rPr>
        <w:t>技术创新成果权属案件</w:t>
      </w:r>
      <w:r>
        <w:rPr>
          <w:rFonts w:hint="default" w:ascii="华文中宋" w:hAnsi="华文中宋" w:eastAsia="华文中宋" w:cs="华文中宋"/>
          <w:b/>
          <w:bCs w:val="0"/>
          <w:i w:val="0"/>
          <w:caps w:val="0"/>
          <w:color w:val="000000"/>
          <w:spacing w:val="0"/>
          <w:sz w:val="44"/>
          <w:szCs w:val="44"/>
        </w:rPr>
        <w:t>审判情况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华文中宋" w:hAnsi="华文中宋" w:eastAsia="华文中宋" w:cs="华文中宋"/>
          <w:b/>
          <w:bCs w:val="0"/>
          <w:i w:val="0"/>
          <w:caps w:val="0"/>
          <w:color w:val="000000"/>
          <w:spacing w:val="0"/>
          <w:sz w:val="36"/>
          <w:szCs w:val="36"/>
        </w:rPr>
      </w:pPr>
      <w:r>
        <w:rPr>
          <w:rFonts w:hint="eastAsia" w:ascii="华文中宋" w:hAnsi="华文中宋" w:eastAsia="华文中宋" w:cs="华文中宋"/>
          <w:b/>
          <w:bCs w:val="0"/>
          <w:i w:val="0"/>
          <w:caps w:val="0"/>
          <w:color w:val="000000"/>
          <w:spacing w:val="0"/>
          <w:sz w:val="44"/>
          <w:szCs w:val="44"/>
          <w:lang w:eastAsia="zh-CN"/>
        </w:rPr>
        <w:t>（</w:t>
      </w:r>
      <w:r>
        <w:rPr>
          <w:rFonts w:hint="default" w:ascii="华文中宋" w:hAnsi="华文中宋" w:eastAsia="华文中宋" w:cs="华文中宋"/>
          <w:b/>
          <w:bCs w:val="0"/>
          <w:i w:val="0"/>
          <w:caps w:val="0"/>
          <w:color w:val="000000"/>
          <w:spacing w:val="0"/>
          <w:sz w:val="44"/>
          <w:szCs w:val="44"/>
        </w:rPr>
        <w:t>2015-202</w:t>
      </w:r>
      <w:r>
        <w:rPr>
          <w:rFonts w:hint="eastAsia" w:ascii="华文中宋" w:hAnsi="华文中宋" w:eastAsia="华文中宋" w:cs="华文中宋"/>
          <w:b/>
          <w:bCs w:val="0"/>
          <w:i w:val="0"/>
          <w:caps w:val="0"/>
          <w:color w:val="000000"/>
          <w:spacing w:val="0"/>
          <w:sz w:val="44"/>
          <w:szCs w:val="44"/>
          <w:lang w:val="en-US" w:eastAsia="zh-CN"/>
        </w:rPr>
        <w:t>2</w:t>
      </w:r>
      <w:r>
        <w:rPr>
          <w:rFonts w:hint="default" w:ascii="华文中宋" w:hAnsi="华文中宋" w:eastAsia="华文中宋" w:cs="华文中宋"/>
          <w:b/>
          <w:bCs w:val="0"/>
          <w:i w:val="0"/>
          <w:caps w:val="0"/>
          <w:color w:val="000000"/>
          <w:spacing w:val="0"/>
          <w:sz w:val="44"/>
          <w:szCs w:val="44"/>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 w:hAnsi="仿宋" w:eastAsia="仿宋" w:cs="仿宋"/>
          <w:i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党的二十大报告指出，</w:t>
      </w:r>
      <w:r>
        <w:rPr>
          <w:rFonts w:hint="eastAsia" w:ascii="仿宋" w:hAnsi="仿宋" w:eastAsia="仿宋" w:cs="仿宋"/>
          <w:i w:val="0"/>
          <w:caps w:val="0"/>
          <w:color w:val="000000"/>
          <w:spacing w:val="0"/>
          <w:sz w:val="32"/>
          <w:szCs w:val="32"/>
          <w:lang w:eastAsia="zh-CN"/>
        </w:rPr>
        <w:t>加强知识产权法治保障，形成支持全面创新的基础制度。</w:t>
      </w:r>
      <w:r>
        <w:rPr>
          <w:rFonts w:hint="eastAsia" w:ascii="仿宋" w:hAnsi="仿宋" w:eastAsia="仿宋" w:cs="仿宋"/>
          <w:i w:val="0"/>
          <w:caps w:val="0"/>
          <w:color w:val="000000"/>
          <w:spacing w:val="0"/>
          <w:sz w:val="32"/>
          <w:szCs w:val="32"/>
        </w:rPr>
        <w:t>这对新时代加强</w:t>
      </w:r>
      <w:r>
        <w:rPr>
          <w:rFonts w:hint="eastAsia" w:ascii="仿宋" w:hAnsi="仿宋" w:eastAsia="仿宋" w:cs="仿宋"/>
          <w:i w:val="0"/>
          <w:caps w:val="0"/>
          <w:color w:val="000000"/>
          <w:spacing w:val="0"/>
          <w:sz w:val="32"/>
          <w:szCs w:val="32"/>
          <w:lang w:eastAsia="zh-CN"/>
        </w:rPr>
        <w:t>技术</w:t>
      </w:r>
      <w:r>
        <w:rPr>
          <w:rFonts w:hint="eastAsia" w:ascii="仿宋" w:hAnsi="仿宋" w:eastAsia="仿宋" w:cs="仿宋"/>
          <w:i w:val="0"/>
          <w:caps w:val="0"/>
          <w:color w:val="000000"/>
          <w:spacing w:val="0"/>
          <w:sz w:val="32"/>
          <w:szCs w:val="32"/>
        </w:rPr>
        <w:t>创新成果的知识产权保护提出了更高要求。</w:t>
      </w:r>
      <w:r>
        <w:rPr>
          <w:rFonts w:hint="eastAsia" w:ascii="仿宋" w:hAnsi="仿宋" w:eastAsia="仿宋" w:cs="仿宋"/>
          <w:i w:val="0"/>
          <w:caps w:val="0"/>
          <w:color w:val="000000"/>
          <w:spacing w:val="0"/>
          <w:sz w:val="32"/>
          <w:szCs w:val="32"/>
          <w:lang w:eastAsia="zh-CN"/>
        </w:rPr>
        <w:t>有恒产者有恒心，支持和</w:t>
      </w:r>
      <w:r>
        <w:rPr>
          <w:rFonts w:hint="eastAsia" w:ascii="仿宋" w:hAnsi="仿宋" w:eastAsia="仿宋" w:cs="仿宋"/>
          <w:i w:val="0"/>
          <w:caps w:val="0"/>
          <w:color w:val="000000"/>
          <w:spacing w:val="0"/>
          <w:sz w:val="32"/>
          <w:szCs w:val="32"/>
        </w:rPr>
        <w:t>保护创新的首要前提在于准确界定</w:t>
      </w:r>
      <w:r>
        <w:rPr>
          <w:rFonts w:hint="eastAsia" w:ascii="仿宋" w:hAnsi="仿宋" w:eastAsia="仿宋" w:cs="仿宋"/>
          <w:i w:val="0"/>
          <w:caps w:val="0"/>
          <w:color w:val="000000"/>
          <w:spacing w:val="0"/>
          <w:sz w:val="32"/>
          <w:szCs w:val="32"/>
          <w:lang w:eastAsia="zh-CN"/>
        </w:rPr>
        <w:t>技术</w:t>
      </w:r>
      <w:r>
        <w:rPr>
          <w:rFonts w:hint="eastAsia" w:ascii="仿宋" w:hAnsi="仿宋" w:eastAsia="仿宋" w:cs="仿宋"/>
          <w:i w:val="0"/>
          <w:caps w:val="0"/>
          <w:color w:val="000000"/>
          <w:spacing w:val="0"/>
          <w:sz w:val="32"/>
          <w:szCs w:val="32"/>
        </w:rPr>
        <w:t>创新成果的知识产权归属</w:t>
      </w:r>
      <w:r>
        <w:rPr>
          <w:rFonts w:hint="eastAsia" w:ascii="仿宋" w:hAnsi="仿宋" w:eastAsia="仿宋" w:cs="仿宋"/>
          <w:i w:val="0"/>
          <w:caps w:val="0"/>
          <w:color w:val="000000"/>
          <w:spacing w:val="0"/>
          <w:sz w:val="32"/>
          <w:szCs w:val="32"/>
          <w:lang w:eastAsia="zh-CN"/>
        </w:rPr>
        <w:t>，让创新者能够充分有效地获得知识产权。为此，</w:t>
      </w:r>
      <w:r>
        <w:rPr>
          <w:rFonts w:hint="eastAsia" w:ascii="仿宋" w:hAnsi="仿宋" w:eastAsia="仿宋" w:cs="仿宋"/>
          <w:i w:val="0"/>
          <w:caps w:val="0"/>
          <w:color w:val="000000"/>
          <w:spacing w:val="0"/>
          <w:sz w:val="32"/>
          <w:szCs w:val="32"/>
          <w:lang w:val="en-US" w:eastAsia="zh-CN"/>
        </w:rPr>
        <w:t>上海知识产权法院对2015年以来审理的技术创新成果权属案件进行梳理，对案件审理中发现的问题进行总结和分析并提出建议，</w:t>
      </w:r>
      <w:r>
        <w:rPr>
          <w:rFonts w:hint="eastAsia" w:ascii="仿宋" w:hAnsi="仿宋" w:eastAsia="仿宋" w:cs="仿宋"/>
          <w:i w:val="0"/>
          <w:caps w:val="0"/>
          <w:color w:val="000000"/>
          <w:spacing w:val="0"/>
          <w:sz w:val="32"/>
          <w:szCs w:val="32"/>
        </w:rPr>
        <w:t>希望能够引起相关部门、企业和社会公众的重视，</w:t>
      </w:r>
      <w:r>
        <w:rPr>
          <w:rFonts w:hint="eastAsia" w:ascii="仿宋" w:hAnsi="仿宋" w:eastAsia="仿宋" w:cs="仿宋"/>
          <w:i w:val="0"/>
          <w:caps w:val="0"/>
          <w:color w:val="000000"/>
          <w:spacing w:val="0"/>
          <w:sz w:val="32"/>
          <w:szCs w:val="32"/>
          <w:lang w:eastAsia="zh-CN"/>
        </w:rPr>
        <w:t>为充分激发全社会创新创造活力、加快实施创新驱动发展战略、实现高水平科技自立自强营造良好创新氛围</w:t>
      </w:r>
      <w:r>
        <w:rPr>
          <w:rFonts w:hint="eastAsia" w:ascii="仿宋" w:hAnsi="仿宋" w:eastAsia="仿宋" w:cs="仿宋"/>
          <w:i w:val="0"/>
          <w:caps w:val="0"/>
          <w:color w:val="000000"/>
          <w:spacing w:val="0"/>
          <w:sz w:val="32"/>
          <w:szCs w:val="32"/>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left="640" w:leftChars="0" w:right="0" w:rightChars="0"/>
        <w:jc w:val="both"/>
        <w:textAlignment w:val="auto"/>
        <w:outlineLvl w:val="0"/>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一、案件基本情况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left="640" w:leftChars="0" w:right="0" w:rightChars="0"/>
        <w:jc w:val="both"/>
        <w:textAlignment w:val="auto"/>
        <w:outlineLvl w:val="1"/>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rPr>
        <w:t>（一）总体情况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 w:hAnsi="仿宋" w:eastAsia="仿宋" w:cs="仿宋"/>
          <w:b w:val="0"/>
          <w:bCs w:val="0"/>
          <w:i w:val="0"/>
          <w:caps w:val="0"/>
          <w:color w:val="000000"/>
          <w:spacing w:val="0"/>
          <w:sz w:val="32"/>
          <w:szCs w:val="32"/>
        </w:rPr>
      </w:pPr>
      <w:r>
        <w:rPr>
          <w:rFonts w:hint="eastAsia" w:ascii="仿宋" w:hAnsi="仿宋" w:eastAsia="仿宋" w:cs="仿宋"/>
          <w:b w:val="0"/>
          <w:bCs w:val="0"/>
          <w:i w:val="0"/>
          <w:caps w:val="0"/>
          <w:color w:val="000000"/>
          <w:spacing w:val="0"/>
          <w:sz w:val="32"/>
          <w:szCs w:val="32"/>
        </w:rPr>
        <w:t>2015-2022年，上海知识产权法院共受理技术</w:t>
      </w:r>
      <w:r>
        <w:rPr>
          <w:rFonts w:hint="eastAsia" w:ascii="仿宋" w:hAnsi="仿宋" w:eastAsia="仿宋" w:cs="仿宋"/>
          <w:b w:val="0"/>
          <w:bCs w:val="0"/>
          <w:i w:val="0"/>
          <w:caps w:val="0"/>
          <w:color w:val="000000"/>
          <w:spacing w:val="0"/>
          <w:sz w:val="32"/>
          <w:szCs w:val="32"/>
          <w:lang w:eastAsia="zh-CN"/>
        </w:rPr>
        <w:t>创新成果</w:t>
      </w:r>
      <w:r>
        <w:rPr>
          <w:rFonts w:hint="eastAsia" w:ascii="仿宋" w:hAnsi="仿宋" w:eastAsia="仿宋" w:cs="仿宋"/>
          <w:b w:val="0"/>
          <w:bCs w:val="0"/>
          <w:i w:val="0"/>
          <w:caps w:val="0"/>
          <w:color w:val="000000"/>
          <w:spacing w:val="0"/>
          <w:sz w:val="32"/>
          <w:szCs w:val="32"/>
        </w:rPr>
        <w:t>权属纠纷一审民事案件489件</w:t>
      </w:r>
      <w:r>
        <w:rPr>
          <w:rFonts w:hint="eastAsia" w:ascii="仿宋" w:hAnsi="仿宋" w:eastAsia="仿宋" w:cs="仿宋"/>
          <w:b w:val="0"/>
          <w:bCs w:val="0"/>
          <w:i w:val="0"/>
          <w:caps w:val="0"/>
          <w:color w:val="000000"/>
          <w:spacing w:val="0"/>
          <w:sz w:val="32"/>
          <w:szCs w:val="32"/>
          <w:lang w:eastAsia="zh-CN"/>
        </w:rPr>
        <w:t>，</w:t>
      </w:r>
      <w:r>
        <w:rPr>
          <w:rFonts w:hint="eastAsia" w:ascii="仿宋" w:hAnsi="仿宋" w:eastAsia="仿宋" w:cs="仿宋"/>
          <w:b w:val="0"/>
          <w:bCs w:val="0"/>
          <w:i w:val="0"/>
          <w:caps w:val="0"/>
          <w:color w:val="000000"/>
          <w:spacing w:val="0"/>
          <w:sz w:val="32"/>
          <w:szCs w:val="32"/>
        </w:rPr>
        <w:t>占同期知识产权一审民事案件收案总量的3.75%</w:t>
      </w:r>
      <w:r>
        <w:rPr>
          <w:rFonts w:hint="eastAsia" w:ascii="仿宋" w:hAnsi="仿宋" w:eastAsia="仿宋" w:cs="仿宋"/>
          <w:b w:val="0"/>
          <w:bCs w:val="0"/>
          <w:i w:val="0"/>
          <w:caps w:val="0"/>
          <w:color w:val="000000"/>
          <w:spacing w:val="0"/>
          <w:sz w:val="32"/>
          <w:szCs w:val="32"/>
          <w:lang w:eastAsia="zh-CN"/>
        </w:rPr>
        <w:t>；</w:t>
      </w:r>
      <w:r>
        <w:rPr>
          <w:rFonts w:hint="eastAsia" w:ascii="仿宋" w:hAnsi="仿宋" w:eastAsia="仿宋" w:cs="仿宋"/>
          <w:b w:val="0"/>
          <w:bCs w:val="0"/>
          <w:i w:val="0"/>
          <w:caps w:val="0"/>
          <w:color w:val="000000"/>
          <w:spacing w:val="0"/>
          <w:sz w:val="32"/>
          <w:szCs w:val="32"/>
        </w:rPr>
        <w:t>结案434件</w:t>
      </w:r>
      <w:r>
        <w:rPr>
          <w:rFonts w:hint="eastAsia" w:ascii="仿宋" w:hAnsi="仿宋" w:eastAsia="仿宋" w:cs="仿宋"/>
          <w:b w:val="0"/>
          <w:bCs w:val="0"/>
          <w:i w:val="0"/>
          <w:caps w:val="0"/>
          <w:color w:val="000000"/>
          <w:spacing w:val="0"/>
          <w:sz w:val="32"/>
          <w:szCs w:val="32"/>
          <w:lang w:eastAsia="zh-CN"/>
        </w:rPr>
        <w:t>。从历年收案和结案情况来看，技术创新成果权属案件</w:t>
      </w:r>
      <w:r>
        <w:rPr>
          <w:rFonts w:hint="eastAsia" w:ascii="仿宋" w:hAnsi="仿宋" w:eastAsia="仿宋" w:cs="仿宋"/>
          <w:b w:val="0"/>
          <w:bCs w:val="0"/>
          <w:i w:val="0"/>
          <w:caps w:val="0"/>
          <w:color w:val="000000"/>
          <w:spacing w:val="0"/>
          <w:sz w:val="32"/>
          <w:szCs w:val="32"/>
        </w:rPr>
        <w:t>整体呈稳中有升的态势。（图1）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outlineLvl w:val="1"/>
        <w:rPr>
          <w:rFonts w:hint="eastAsia" w:ascii="楷体" w:hAnsi="楷体" w:eastAsia="楷体" w:cs="楷体"/>
          <w:b w:val="0"/>
          <w:bCs w:val="0"/>
          <w:i w:val="0"/>
          <w:caps w:val="0"/>
          <w:color w:val="000000"/>
          <w:spacing w:val="0"/>
          <w:sz w:val="28"/>
          <w:szCs w:val="28"/>
          <w:lang w:val="en-US" w:eastAsia="zh-CN"/>
        </w:rPr>
      </w:pPr>
      <w:r>
        <w:rPr>
          <w:rFonts w:hint="eastAsia" w:ascii="楷体" w:hAnsi="楷体" w:eastAsia="楷体" w:cs="楷体"/>
          <w:b w:val="0"/>
          <w:bCs w:val="0"/>
          <w:i w:val="0"/>
          <w:caps w:val="0"/>
          <w:color w:val="000000"/>
          <w:spacing w:val="0"/>
          <w:sz w:val="28"/>
          <w:szCs w:val="28"/>
          <w:lang w:eastAsia="zh-CN"/>
        </w:rPr>
        <w:drawing>
          <wp:anchor distT="0" distB="0" distL="114300" distR="114300" simplePos="0" relativeHeight="251659264" behindDoc="0" locked="0" layoutInCell="1" allowOverlap="1">
            <wp:simplePos x="0" y="0"/>
            <wp:positionH relativeFrom="column">
              <wp:align>center</wp:align>
            </wp:positionH>
            <wp:positionV relativeFrom="paragraph">
              <wp:posOffset>144145</wp:posOffset>
            </wp:positionV>
            <wp:extent cx="4826000" cy="2333625"/>
            <wp:effectExtent l="5080" t="4445" r="7620" b="50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楷体" w:hAnsi="楷体" w:eastAsia="楷体" w:cs="楷体"/>
          <w:b w:val="0"/>
          <w:bCs w:val="0"/>
          <w:i w:val="0"/>
          <w:caps w:val="0"/>
          <w:color w:val="000000"/>
          <w:spacing w:val="0"/>
          <w:sz w:val="28"/>
          <w:szCs w:val="28"/>
          <w:lang w:eastAsia="zh-CN"/>
        </w:rPr>
        <w:t>图</w:t>
      </w:r>
      <w:r>
        <w:rPr>
          <w:rFonts w:hint="eastAsia" w:ascii="楷体" w:hAnsi="楷体" w:eastAsia="楷体" w:cs="楷体"/>
          <w:b w:val="0"/>
          <w:bCs w:val="0"/>
          <w:i w:val="0"/>
          <w:caps w:val="0"/>
          <w:color w:val="000000"/>
          <w:spacing w:val="0"/>
          <w:sz w:val="28"/>
          <w:szCs w:val="28"/>
          <w:lang w:val="en-US" w:eastAsia="zh-CN"/>
        </w:rPr>
        <w:t>1 收结案情况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482"/>
        <w:jc w:val="both"/>
        <w:textAlignment w:val="auto"/>
        <w:outlineLvl w:val="1"/>
        <w:rPr>
          <w:rFonts w:hint="eastAsia" w:ascii="仿宋" w:hAnsi="仿宋" w:eastAsia="仿宋" w:cs="仿宋"/>
          <w:b/>
          <w:bCs/>
          <w:i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482"/>
        <w:jc w:val="both"/>
        <w:textAlignment w:val="auto"/>
        <w:outlineLvl w:val="1"/>
        <w:rPr>
          <w:rFonts w:hint="eastAsia" w:ascii="仿宋" w:hAnsi="仿宋" w:eastAsia="仿宋" w:cs="仿宋"/>
          <w:b/>
          <w:bCs/>
          <w:i w:val="0"/>
          <w:caps w:val="0"/>
          <w:color w:val="000000"/>
          <w:spacing w:val="0"/>
          <w:sz w:val="21"/>
          <w:szCs w:val="21"/>
        </w:rPr>
      </w:pPr>
      <w:r>
        <w:rPr>
          <w:rFonts w:hint="eastAsia" w:ascii="仿宋" w:hAnsi="仿宋" w:eastAsia="仿宋" w:cs="仿宋"/>
          <w:b/>
          <w:bCs/>
          <w:i w:val="0"/>
          <w:caps w:val="0"/>
          <w:color w:val="000000"/>
          <w:spacing w:val="0"/>
          <w:sz w:val="32"/>
          <w:szCs w:val="32"/>
        </w:rPr>
        <w:t>（二）主要特点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1.从当事人情况看，创新主体以公司为主。</w:t>
      </w:r>
      <w:r>
        <w:rPr>
          <w:rFonts w:hint="eastAsia" w:ascii="仿宋" w:hAnsi="仿宋" w:eastAsia="仿宋" w:cs="仿宋"/>
          <w:b w:val="0"/>
          <w:bCs w:val="0"/>
          <w:sz w:val="32"/>
          <w:szCs w:val="32"/>
          <w:lang w:val="en-US" w:eastAsia="zh-CN"/>
        </w:rPr>
        <w:t>受理的案件中，双方当事人均为公司的案件为383件，占比78.32%；仅一方当事人为公司的案件为102件，占比20.86%。相比而言，双方当事人均为个人的案件仅为4件。因此，当前科技创新的主体仍然以公司为主，占比99.18%。（图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val="0"/>
          <w:bCs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bCs/>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bCs/>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bCs/>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center"/>
        <w:textAlignment w:val="auto"/>
        <w:rPr>
          <w:rFonts w:hint="eastAsia" w:ascii="仿宋" w:hAnsi="仿宋" w:eastAsia="仿宋" w:cs="仿宋"/>
          <w:b w:val="0"/>
          <w:bCs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楷体" w:hAnsi="楷体" w:eastAsia="楷体" w:cs="楷体"/>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60288" behindDoc="0" locked="0" layoutInCell="1" allowOverlap="1">
            <wp:simplePos x="0" y="0"/>
            <wp:positionH relativeFrom="column">
              <wp:align>center</wp:align>
            </wp:positionH>
            <wp:positionV relativeFrom="paragraph">
              <wp:posOffset>-176530</wp:posOffset>
            </wp:positionV>
            <wp:extent cx="3110230" cy="2153920"/>
            <wp:effectExtent l="4445" t="4445" r="9525" b="1333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楷体" w:hAnsi="楷体" w:eastAsia="楷体" w:cs="楷体"/>
          <w:b w:val="0"/>
          <w:bCs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楷体" w:hAnsi="楷体" w:eastAsia="楷体" w:cs="楷体"/>
          <w:b w:val="0"/>
          <w:bCs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楷体" w:hAnsi="楷体" w:eastAsia="楷体" w:cs="楷体"/>
          <w:b w:val="0"/>
          <w:bCs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jc w:val="both"/>
        <w:textAlignment w:val="auto"/>
        <w:rPr>
          <w:rFonts w:hint="eastAsia" w:ascii="楷体" w:hAnsi="楷体" w:eastAsia="楷体" w:cs="楷体"/>
          <w:b w:val="0"/>
          <w:bCs w:val="0"/>
          <w:sz w:val="28"/>
          <w:szCs w:val="28"/>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图2 当事人情况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2.从纠纷类型看，以专利案件为主。</w:t>
      </w:r>
      <w:r>
        <w:rPr>
          <w:rFonts w:hint="eastAsia" w:ascii="仿宋" w:hAnsi="仿宋" w:eastAsia="仿宋" w:cs="仿宋"/>
          <w:b w:val="0"/>
          <w:bCs w:val="0"/>
          <w:sz w:val="32"/>
          <w:szCs w:val="32"/>
          <w:lang w:val="en-US" w:eastAsia="zh-CN"/>
        </w:rPr>
        <w:t>受理的案件中，案件类型由多到少分别为专利权权属纠纷、专利申请权权属纠纷、计算机软件著作权权属纠纷。其中，专利权权属纠纷案件309件、专利申请权权属纠纷案件145件、计算机软件著作权权属纠纷案件35件。（图3）从创新活动来看，主要集中在技术设计和开发领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val="0"/>
          <w:bCs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61312" behindDoc="0" locked="0" layoutInCell="1" allowOverlap="1">
            <wp:simplePos x="0" y="0"/>
            <wp:positionH relativeFrom="column">
              <wp:align>center</wp:align>
            </wp:positionH>
            <wp:positionV relativeFrom="paragraph">
              <wp:posOffset>17780</wp:posOffset>
            </wp:positionV>
            <wp:extent cx="3229610" cy="2325370"/>
            <wp:effectExtent l="5080" t="4445" r="22860" b="1333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val="0"/>
          <w:bCs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bCs/>
          <w:i w:val="0"/>
          <w:caps w:val="0"/>
          <w:color w:val="000000"/>
          <w:spacing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bCs/>
          <w:i w:val="0"/>
          <w:caps w:val="0"/>
          <w:color w:val="000000"/>
          <w:spacing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bCs/>
          <w:i w:val="0"/>
          <w:caps w:val="0"/>
          <w:color w:val="000000"/>
          <w:spacing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楷体" w:hAnsi="楷体" w:eastAsia="楷体" w:cs="楷体"/>
          <w:b w:val="0"/>
          <w:bCs w:val="0"/>
          <w:i w:val="0"/>
          <w:caps w:val="0"/>
          <w:color w:val="000000"/>
          <w:spacing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楷体" w:hAnsi="楷体" w:eastAsia="楷体" w:cs="楷体"/>
          <w:b w:val="0"/>
          <w:bCs w:val="0"/>
          <w:i w:val="0"/>
          <w:caps w:val="0"/>
          <w:color w:val="000000"/>
          <w:spacing w:val="0"/>
          <w:sz w:val="28"/>
          <w:szCs w:val="28"/>
          <w:lang w:val="en-US" w:eastAsia="zh-CN"/>
        </w:rPr>
      </w:pPr>
      <w:r>
        <w:rPr>
          <w:rFonts w:hint="eastAsia" w:ascii="楷体" w:hAnsi="楷体" w:eastAsia="楷体" w:cs="楷体"/>
          <w:b w:val="0"/>
          <w:bCs w:val="0"/>
          <w:i w:val="0"/>
          <w:caps w:val="0"/>
          <w:color w:val="000000"/>
          <w:spacing w:val="0"/>
          <w:sz w:val="28"/>
          <w:szCs w:val="28"/>
          <w:lang w:val="en-US" w:eastAsia="zh-CN"/>
        </w:rPr>
        <w:t>图3 案件类型情况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default" w:ascii="仿宋" w:hAnsi="仿宋" w:eastAsia="仿宋" w:cs="仿宋"/>
          <w:b w:val="0"/>
          <w:bCs w:val="0"/>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highlight w:val="none"/>
          <w:lang w:val="en-US" w:eastAsia="zh-CN"/>
        </w:rPr>
        <w:t>3.从案件起因看，以职务与非职务成果争议为主。</w:t>
      </w:r>
      <w:r>
        <w:rPr>
          <w:rFonts w:hint="eastAsia" w:ascii="仿宋" w:hAnsi="仿宋" w:eastAsia="仿宋" w:cs="仿宋"/>
          <w:b w:val="0"/>
          <w:bCs w:val="0"/>
          <w:i w:val="0"/>
          <w:caps w:val="0"/>
          <w:color w:val="000000"/>
          <w:spacing w:val="0"/>
          <w:sz w:val="32"/>
          <w:szCs w:val="32"/>
          <w:lang w:val="en-US" w:eastAsia="zh-CN"/>
        </w:rPr>
        <w:t>权属纠纷案件</w:t>
      </w:r>
      <w:r>
        <w:rPr>
          <w:rFonts w:hint="default" w:ascii="仿宋" w:hAnsi="仿宋" w:eastAsia="仿宋" w:cs="仿宋"/>
          <w:b w:val="0"/>
          <w:bCs w:val="0"/>
          <w:i w:val="0"/>
          <w:caps w:val="0"/>
          <w:color w:val="000000"/>
          <w:spacing w:val="0"/>
          <w:sz w:val="32"/>
          <w:szCs w:val="32"/>
          <w:lang w:val="en-US" w:eastAsia="zh-CN"/>
        </w:rPr>
        <w:t>中</w:t>
      </w:r>
      <w:r>
        <w:rPr>
          <w:rFonts w:hint="eastAsia" w:ascii="仿宋" w:hAnsi="仿宋" w:eastAsia="仿宋" w:cs="仿宋"/>
          <w:b w:val="0"/>
          <w:bCs w:val="0"/>
          <w:i w:val="0"/>
          <w:caps w:val="0"/>
          <w:color w:val="000000"/>
          <w:spacing w:val="0"/>
          <w:sz w:val="32"/>
          <w:szCs w:val="32"/>
          <w:lang w:val="en-US" w:eastAsia="zh-CN"/>
        </w:rPr>
        <w:t>，当事人之间发生纠纷的原因主要表现为以下几种情形：一是员工擅自将本属于单位的技术创新成果据为己有，单位请求法院确认相关技术方案构成职务发明，数量为128件；二是在合作研发过程中，因合同一方违约损害相对方利益，当事人请求法院确认权利归属，数量为34件；三是创新主体认为其相关技术方案被窃取、抄袭，请求法院确认其对技术方案享有权利，数量为7件。（图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val="0"/>
          <w:bCs w:val="0"/>
          <w:i w:val="0"/>
          <w:caps w:val="0"/>
          <w:color w:val="000000"/>
          <w:spacing w:val="0"/>
          <w:sz w:val="32"/>
          <w:szCs w:val="32"/>
          <w:lang w:val="en-US" w:eastAsia="zh-CN"/>
        </w:rPr>
      </w:pPr>
      <w:r>
        <w:rPr>
          <w:rFonts w:hint="eastAsia" w:ascii="仿宋" w:hAnsi="仿宋" w:eastAsia="仿宋" w:cs="仿宋"/>
          <w:b w:val="0"/>
          <w:bCs w:val="0"/>
          <w:i w:val="0"/>
          <w:caps w:val="0"/>
          <w:color w:val="000000"/>
          <w:spacing w:val="0"/>
          <w:sz w:val="32"/>
          <w:szCs w:val="32"/>
          <w:lang w:val="en-US" w:eastAsia="zh-CN"/>
        </w:rPr>
        <w:drawing>
          <wp:anchor distT="0" distB="0" distL="114300" distR="114300" simplePos="0" relativeHeight="251662336" behindDoc="0" locked="0" layoutInCell="1" allowOverlap="1">
            <wp:simplePos x="0" y="0"/>
            <wp:positionH relativeFrom="column">
              <wp:align>center</wp:align>
            </wp:positionH>
            <wp:positionV relativeFrom="paragraph">
              <wp:posOffset>331470</wp:posOffset>
            </wp:positionV>
            <wp:extent cx="3342640" cy="2067560"/>
            <wp:effectExtent l="4445" t="4445" r="5715" b="2349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val="0"/>
          <w:bCs w:val="0"/>
          <w:i w:val="0"/>
          <w:caps w:val="0"/>
          <w:color w:val="000000"/>
          <w:spacing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bCs/>
          <w:i w:val="0"/>
          <w:caps w:val="0"/>
          <w:color w:val="000000"/>
          <w:spacing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bCs/>
          <w:i w:val="0"/>
          <w:caps w:val="0"/>
          <w:color w:val="000000"/>
          <w:spacing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bCs/>
          <w:i w:val="0"/>
          <w:caps w:val="0"/>
          <w:color w:val="000000"/>
          <w:spacing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bCs/>
          <w:i w:val="0"/>
          <w:caps w:val="0"/>
          <w:color w:val="000000"/>
          <w:spacing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 w:hAnsi="楷体" w:eastAsia="楷体" w:cs="楷体"/>
          <w:b w:val="0"/>
          <w:bCs w:val="0"/>
          <w:i w:val="0"/>
          <w:caps w:val="0"/>
          <w:color w:val="000000"/>
          <w:spacing w:val="0"/>
          <w:sz w:val="28"/>
          <w:szCs w:val="28"/>
          <w:lang w:val="en-US" w:eastAsia="zh-CN"/>
        </w:rPr>
      </w:pPr>
      <w:r>
        <w:rPr>
          <w:rFonts w:hint="eastAsia" w:ascii="楷体" w:hAnsi="楷体" w:eastAsia="楷体" w:cs="楷体"/>
          <w:b w:val="0"/>
          <w:bCs w:val="0"/>
          <w:i w:val="0"/>
          <w:caps w:val="0"/>
          <w:color w:val="000000"/>
          <w:spacing w:val="0"/>
          <w:sz w:val="28"/>
          <w:szCs w:val="28"/>
          <w:highlight w:val="none"/>
          <w:lang w:val="en-US" w:eastAsia="zh-CN"/>
        </w:rPr>
        <w:t>图4 当事人的基础关系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val="0"/>
          <w:bCs w:val="0"/>
          <w:i w:val="0"/>
          <w:caps w:val="0"/>
          <w:color w:val="000000"/>
          <w:spacing w:val="0"/>
          <w:sz w:val="32"/>
          <w:szCs w:val="32"/>
          <w:highlight w:val="none"/>
          <w:lang w:val="en-US" w:eastAsia="zh-CN"/>
        </w:rPr>
      </w:pPr>
      <w:r>
        <w:rPr>
          <w:rFonts w:hint="eastAsia" w:ascii="仿宋" w:hAnsi="仿宋" w:eastAsia="仿宋" w:cs="仿宋"/>
          <w:b/>
          <w:bCs/>
          <w:i w:val="0"/>
          <w:caps w:val="0"/>
          <w:color w:val="000000"/>
          <w:spacing w:val="0"/>
          <w:sz w:val="32"/>
          <w:szCs w:val="32"/>
          <w:lang w:val="en-US" w:eastAsia="zh-CN"/>
        </w:rPr>
        <w:t>4.从案件结果看，原告胜诉率较高。</w:t>
      </w:r>
      <w:r>
        <w:rPr>
          <w:rFonts w:hint="eastAsia" w:ascii="仿宋" w:hAnsi="仿宋" w:eastAsia="仿宋" w:cs="仿宋"/>
          <w:b w:val="0"/>
          <w:bCs w:val="0"/>
          <w:i w:val="0"/>
          <w:caps w:val="0"/>
          <w:color w:val="000000"/>
          <w:spacing w:val="0"/>
          <w:sz w:val="32"/>
          <w:szCs w:val="32"/>
          <w:lang w:val="en-US" w:eastAsia="zh-CN"/>
        </w:rPr>
        <w:t>在审结的案件中，</w:t>
      </w:r>
      <w:r>
        <w:rPr>
          <w:rFonts w:hint="eastAsia" w:ascii="仿宋" w:hAnsi="仿宋" w:eastAsia="仿宋" w:cs="仿宋"/>
          <w:b w:val="0"/>
          <w:bCs w:val="0"/>
          <w:i w:val="0"/>
          <w:caps w:val="0"/>
          <w:color w:val="000000"/>
          <w:spacing w:val="0"/>
          <w:sz w:val="32"/>
          <w:szCs w:val="32"/>
          <w:highlight w:val="none"/>
          <w:lang w:val="en-US" w:eastAsia="zh-CN"/>
        </w:rPr>
        <w:t>以判决方式结案的案件共169件，其中，确认权利归原告所有的案件105件，占比62.13%；以裁定方式结案的案件共224件，其中，裁定撤诉或者按撤诉处理的案件193件；以调解方式结案的案件共41件，调解协议中约定权利归属于原告的案件37件，约定由双方当事人共有权利的案件4件。整体来看，判决和调解结案的案件中，技术创新成果归原告所有的案件占比达到67.62%。（图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val="0"/>
          <w:bCs w:val="0"/>
          <w:i w:val="0"/>
          <w:caps w:val="0"/>
          <w:color w:val="000000"/>
          <w:spacing w:val="0"/>
          <w:sz w:val="32"/>
          <w:szCs w:val="32"/>
          <w:highlight w:val="none"/>
          <w:lang w:val="en-US" w:eastAsia="zh-CN"/>
        </w:rPr>
      </w:pPr>
      <w:r>
        <w:rPr>
          <w:rFonts w:hint="eastAsia" w:ascii="黑体" w:hAnsi="黑体" w:eastAsia="黑体" w:cs="黑体"/>
          <w:b w:val="0"/>
          <w:bCs w:val="0"/>
          <w:i w:val="0"/>
          <w:caps w:val="0"/>
          <w:color w:val="000000"/>
          <w:spacing w:val="0"/>
          <w:sz w:val="32"/>
          <w:szCs w:val="32"/>
          <w:lang w:eastAsia="zh-CN"/>
        </w:rPr>
        <w:drawing>
          <wp:anchor distT="0" distB="0" distL="114300" distR="114300" simplePos="0" relativeHeight="251663360" behindDoc="0" locked="0" layoutInCell="1" allowOverlap="1">
            <wp:simplePos x="0" y="0"/>
            <wp:positionH relativeFrom="column">
              <wp:align>center</wp:align>
            </wp:positionH>
            <wp:positionV relativeFrom="paragraph">
              <wp:posOffset>205105</wp:posOffset>
            </wp:positionV>
            <wp:extent cx="3674745" cy="2072005"/>
            <wp:effectExtent l="4445" t="4445" r="16510" b="1905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outlineLvl w:val="0"/>
        <w:rPr>
          <w:rFonts w:hint="eastAsia" w:ascii="黑体" w:hAnsi="黑体" w:eastAsia="黑体" w:cs="黑体"/>
          <w:b w:val="0"/>
          <w:bCs w:val="0"/>
          <w:i w:val="0"/>
          <w:caps w:val="0"/>
          <w:color w:val="000000"/>
          <w:spacing w:val="0"/>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outlineLvl w:val="0"/>
        <w:rPr>
          <w:rFonts w:hint="eastAsia" w:ascii="黑体" w:hAnsi="黑体" w:eastAsia="黑体" w:cs="黑体"/>
          <w:b w:val="0"/>
          <w:bCs w:val="0"/>
          <w:i w:val="0"/>
          <w:caps w:val="0"/>
          <w:color w:val="000000"/>
          <w:spacing w:val="0"/>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outlineLvl w:val="0"/>
        <w:rPr>
          <w:rFonts w:hint="eastAsia" w:ascii="黑体" w:hAnsi="黑体" w:eastAsia="黑体" w:cs="黑体"/>
          <w:b w:val="0"/>
          <w:bCs w:val="0"/>
          <w:i w:val="0"/>
          <w:caps w:val="0"/>
          <w:color w:val="000000"/>
          <w:spacing w:val="0"/>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outlineLvl w:val="0"/>
        <w:rPr>
          <w:rFonts w:hint="eastAsia" w:ascii="黑体" w:hAnsi="黑体" w:eastAsia="黑体" w:cs="黑体"/>
          <w:b w:val="0"/>
          <w:bCs w:val="0"/>
          <w:i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outlineLvl w:val="0"/>
        <w:rPr>
          <w:rFonts w:hint="eastAsia" w:ascii="楷体" w:hAnsi="楷体" w:eastAsia="楷体" w:cs="楷体"/>
          <w:b w:val="0"/>
          <w:bCs w:val="0"/>
          <w:i w:val="0"/>
          <w:caps w:val="0"/>
          <w:color w:val="000000"/>
          <w:spacing w:val="0"/>
          <w:sz w:val="32"/>
          <w:szCs w:val="32"/>
          <w:lang w:eastAsia="zh-CN"/>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outlineLvl w:val="0"/>
        <w:rPr>
          <w:rFonts w:hint="eastAsia" w:ascii="楷体" w:hAnsi="楷体" w:eastAsia="楷体" w:cs="楷体"/>
          <w:b w:val="0"/>
          <w:bCs w:val="0"/>
          <w:i w:val="0"/>
          <w:caps w:val="0"/>
          <w:color w:val="000000"/>
          <w:spacing w:val="0"/>
          <w:sz w:val="28"/>
          <w:szCs w:val="28"/>
          <w:lang w:val="en-US" w:eastAsia="zh-CN"/>
        </w:rPr>
      </w:pPr>
      <w:r>
        <w:rPr>
          <w:rFonts w:hint="eastAsia" w:ascii="楷体" w:hAnsi="楷体" w:eastAsia="楷体" w:cs="楷体"/>
          <w:b w:val="0"/>
          <w:bCs w:val="0"/>
          <w:i w:val="0"/>
          <w:caps w:val="0"/>
          <w:color w:val="000000"/>
          <w:spacing w:val="0"/>
          <w:sz w:val="28"/>
          <w:szCs w:val="28"/>
          <w:lang w:eastAsia="zh-CN"/>
        </w:rPr>
        <w:t>图</w:t>
      </w:r>
      <w:r>
        <w:rPr>
          <w:rFonts w:hint="eastAsia" w:ascii="楷体" w:hAnsi="楷体" w:eastAsia="楷体" w:cs="楷体"/>
          <w:b w:val="0"/>
          <w:bCs w:val="0"/>
          <w:i w:val="0"/>
          <w:caps w:val="0"/>
          <w:color w:val="000000"/>
          <w:spacing w:val="0"/>
          <w:sz w:val="28"/>
          <w:szCs w:val="28"/>
          <w:lang w:val="en-US" w:eastAsia="zh-CN"/>
        </w:rPr>
        <w:t>5 结案情况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outlineLvl w:val="0"/>
        <w:rPr>
          <w:rFonts w:hint="eastAsia" w:ascii="仿宋" w:hAnsi="仿宋" w:eastAsia="仿宋" w:cs="仿宋"/>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rPr>
        <w:t>二、</w:t>
      </w:r>
      <w:r>
        <w:rPr>
          <w:rFonts w:hint="eastAsia" w:ascii="黑体" w:hAnsi="黑体" w:eastAsia="黑体" w:cs="黑体"/>
          <w:b w:val="0"/>
          <w:bCs w:val="0"/>
          <w:i w:val="0"/>
          <w:caps w:val="0"/>
          <w:color w:val="000000"/>
          <w:spacing w:val="0"/>
          <w:sz w:val="32"/>
          <w:szCs w:val="32"/>
          <w:lang w:eastAsia="zh-CN"/>
        </w:rPr>
        <w:t>案件裁判规则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outlineLvl w:val="1"/>
        <w:rPr>
          <w:rFonts w:hint="default" w:ascii="仿宋" w:hAnsi="仿宋" w:eastAsia="仿宋" w:cs="仿宋"/>
          <w:b w:val="0"/>
          <w:bCs w:val="0"/>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lang w:val="en-US" w:eastAsia="zh-CN"/>
        </w:rPr>
        <w:t>（一）优先按照当事人约定确定权利归属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val="0"/>
          <w:bCs w:val="0"/>
          <w:i w:val="0"/>
          <w:caps w:val="0"/>
          <w:color w:val="000000"/>
          <w:spacing w:val="0"/>
          <w:sz w:val="32"/>
          <w:szCs w:val="32"/>
          <w:highlight w:val="none"/>
          <w:lang w:val="en-US" w:eastAsia="zh-CN"/>
        </w:rPr>
      </w:pPr>
      <w:r>
        <w:rPr>
          <w:rFonts w:hint="eastAsia" w:ascii="仿宋" w:hAnsi="仿宋" w:eastAsia="仿宋" w:cs="仿宋"/>
          <w:b w:val="0"/>
          <w:bCs w:val="0"/>
          <w:i w:val="0"/>
          <w:caps w:val="0"/>
          <w:color w:val="000000"/>
          <w:spacing w:val="0"/>
          <w:sz w:val="32"/>
          <w:szCs w:val="32"/>
          <w:lang w:val="en-US" w:eastAsia="zh-CN"/>
        </w:rPr>
        <w:t>知识产权本质上属于私权，技术创新成果的知识产权权属首先应当尊重创新主体的意思自治，遵循</w:t>
      </w:r>
      <w:r>
        <w:rPr>
          <w:rFonts w:hint="eastAsia" w:ascii="仿宋" w:hAnsi="仿宋" w:eastAsia="仿宋" w:cs="仿宋"/>
          <w:b/>
          <w:bCs/>
          <w:i w:val="0"/>
          <w:caps w:val="0"/>
          <w:color w:val="000000"/>
          <w:spacing w:val="0"/>
          <w:sz w:val="32"/>
          <w:szCs w:val="32"/>
          <w:lang w:val="en-US" w:eastAsia="zh-CN"/>
        </w:rPr>
        <w:t>“有约定，优先按照约定”</w:t>
      </w:r>
      <w:r>
        <w:rPr>
          <w:rFonts w:hint="eastAsia" w:ascii="仿宋" w:hAnsi="仿宋" w:eastAsia="仿宋" w:cs="仿宋"/>
          <w:b w:val="0"/>
          <w:bCs w:val="0"/>
          <w:i w:val="0"/>
          <w:caps w:val="0"/>
          <w:color w:val="000000"/>
          <w:spacing w:val="0"/>
          <w:sz w:val="32"/>
          <w:szCs w:val="32"/>
          <w:lang w:val="en-US" w:eastAsia="zh-CN"/>
        </w:rPr>
        <w:t>的基本规则进行确定。而且，技术创新成果的形成凝聚了创新主体的智力和资金投入，创新主体对技术创新成果权利归属的安排或者约定往往最有利于技术创新成果的转化运用。因此，如果当事人之间明确约定了技术创新成果的权利归属，则应当优先按照当事人之间的约定予以确定。例如，在</w:t>
      </w:r>
      <w:r>
        <w:rPr>
          <w:rFonts w:hint="eastAsia" w:ascii="仿宋" w:hAnsi="仿宋" w:eastAsia="仿宋" w:cs="仿宋"/>
          <w:b w:val="0"/>
          <w:bCs w:val="0"/>
          <w:i w:val="0"/>
          <w:caps w:val="0"/>
          <w:color w:val="000000"/>
          <w:spacing w:val="0"/>
          <w:sz w:val="32"/>
          <w:szCs w:val="32"/>
          <w:highlight w:val="none"/>
          <w:lang w:val="en-US" w:eastAsia="zh-CN"/>
        </w:rPr>
        <w:t>原告陆某某与被告某研究所等专利权权属纠纷一案中，原、被告曾签署《技术顾问聘用合同》等，约定原告在被告处任职期间因履行职务或者主要利用被告的物质技术条件、业务信息等产生的发明创造、技术秘密等有关的知识产权均属于被告。法院认为相关协议经双方当事人签字、盖章，依法成立，对双方具有法律约束力，且双方关于创新成果权利归属的约定与专利法有关职务发明权利归属的规定相符，故依据约定认定涉案专利权应归属于被告，并驳回了原告的诉讼请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outlineLvl w:val="1"/>
        <w:rPr>
          <w:rFonts w:hint="eastAsia" w:ascii="仿宋" w:hAnsi="仿宋" w:eastAsia="仿宋" w:cs="仿宋"/>
          <w:b w:val="0"/>
          <w:bCs w:val="0"/>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lang w:val="en-US" w:eastAsia="zh-CN"/>
        </w:rPr>
        <w:t>（二）准确认定职务发明保护</w:t>
      </w:r>
      <w:r>
        <w:rPr>
          <w:rFonts w:hint="eastAsia" w:ascii="仿宋" w:hAnsi="仿宋" w:eastAsia="仿宋" w:cs="仿宋"/>
          <w:b/>
          <w:bCs/>
          <w:i w:val="0"/>
          <w:caps w:val="0"/>
          <w:color w:val="000000"/>
          <w:spacing w:val="0"/>
          <w:sz w:val="32"/>
          <w:szCs w:val="32"/>
          <w:highlight w:val="none"/>
          <w:lang w:val="en-US" w:eastAsia="zh-CN"/>
        </w:rPr>
        <w:t>企业</w:t>
      </w:r>
      <w:r>
        <w:rPr>
          <w:rFonts w:hint="eastAsia" w:ascii="仿宋" w:hAnsi="仿宋" w:eastAsia="仿宋" w:cs="仿宋"/>
          <w:b/>
          <w:bCs/>
          <w:i w:val="0"/>
          <w:caps w:val="0"/>
          <w:color w:val="000000"/>
          <w:spacing w:val="0"/>
          <w:sz w:val="32"/>
          <w:szCs w:val="32"/>
          <w:lang w:val="en-US" w:eastAsia="zh-CN"/>
        </w:rPr>
        <w:t>创新投入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default" w:ascii="仿宋" w:hAnsi="仿宋" w:eastAsia="仿宋" w:cs="仿宋"/>
          <w:b w:val="0"/>
          <w:bCs w:val="0"/>
          <w:i w:val="0"/>
          <w:caps w:val="0"/>
          <w:color w:val="000000"/>
          <w:spacing w:val="0"/>
          <w:sz w:val="32"/>
          <w:szCs w:val="32"/>
          <w:highlight w:val="none"/>
          <w:lang w:val="en-US" w:eastAsia="zh-CN"/>
        </w:rPr>
      </w:pPr>
      <w:r>
        <w:rPr>
          <w:rFonts w:hint="eastAsia" w:ascii="仿宋" w:hAnsi="仿宋" w:eastAsia="仿宋" w:cs="仿宋"/>
          <w:b w:val="0"/>
          <w:bCs w:val="0"/>
          <w:i w:val="0"/>
          <w:caps w:val="0"/>
          <w:color w:val="000000"/>
          <w:spacing w:val="0"/>
          <w:sz w:val="32"/>
          <w:szCs w:val="32"/>
          <w:lang w:val="en-US" w:eastAsia="zh-CN"/>
        </w:rPr>
        <w:t>技术创新成果的完成，固然离不开个人的智力创造，但越来越多的创新活动更需要企业在人才、物质技术条件等方面的投入和保障。特别是对于具有战略性全局性前瞻性的重大科技项目，必须充分发挥企业在科技创新中的主体地位。在确定此类技术创新成果知识产权归属时，如果没有相反约定，应当遵循</w:t>
      </w:r>
      <w:r>
        <w:rPr>
          <w:rFonts w:hint="eastAsia" w:ascii="仿宋" w:hAnsi="仿宋" w:eastAsia="仿宋" w:cs="仿宋"/>
          <w:b/>
          <w:bCs/>
          <w:i w:val="0"/>
          <w:caps w:val="0"/>
          <w:color w:val="000000"/>
          <w:spacing w:val="0"/>
          <w:sz w:val="32"/>
          <w:szCs w:val="32"/>
          <w:lang w:val="en-US" w:eastAsia="zh-CN"/>
        </w:rPr>
        <w:t>“谁投资，谁享有权利”</w:t>
      </w:r>
      <w:r>
        <w:rPr>
          <w:rFonts w:hint="eastAsia" w:ascii="仿宋" w:hAnsi="仿宋" w:eastAsia="仿宋" w:cs="仿宋"/>
          <w:b w:val="0"/>
          <w:bCs w:val="0"/>
          <w:i w:val="0"/>
          <w:caps w:val="0"/>
          <w:color w:val="000000"/>
          <w:spacing w:val="0"/>
          <w:sz w:val="32"/>
          <w:szCs w:val="32"/>
          <w:lang w:val="en-US" w:eastAsia="zh-CN"/>
        </w:rPr>
        <w:t>的基本规则，依法准确认定技术创新成果为职务创造成果，让创新投入者切实享有相应的知识产权，营造有利于企业创新的良好环境。</w:t>
      </w:r>
      <w:r>
        <w:rPr>
          <w:rFonts w:hint="eastAsia" w:ascii="仿宋" w:hAnsi="仿宋" w:eastAsia="仿宋" w:cs="仿宋"/>
          <w:b w:val="0"/>
          <w:bCs w:val="0"/>
          <w:i w:val="0"/>
          <w:caps w:val="0"/>
          <w:color w:val="000000"/>
          <w:spacing w:val="0"/>
          <w:sz w:val="32"/>
          <w:szCs w:val="32"/>
          <w:highlight w:val="none"/>
          <w:lang w:val="en-US" w:eastAsia="zh-CN"/>
        </w:rPr>
        <w:t>例如，在原告某公司与被告某数控机床公司专利权权属纠纷一案中，法院认为，涉案专利所体现的技术成果的实质性内容是在原告图纸以及其所有的“折弯机推拉式防护门”专利的基础上完成的，被告虽然主张原告图纸与涉案专利的相同之处所体现的技术特征属于行业通用技术或者国家强制标准要求的必备配件，但并未提供证据予以证明，故法院认定涉案专利是主要利用了原告的物质技术条件完成，专利权应归属于原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outlineLvl w:val="1"/>
        <w:rPr>
          <w:rFonts w:hint="eastAsia" w:ascii="仿宋" w:hAnsi="仿宋" w:eastAsia="仿宋" w:cs="仿宋"/>
          <w:b w:val="0"/>
          <w:bCs w:val="0"/>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lang w:val="en-US" w:eastAsia="zh-CN"/>
        </w:rPr>
        <w:t>（三）依法保护创新者的智力创造贡献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val="0"/>
          <w:bCs w:val="0"/>
          <w:i w:val="0"/>
          <w:caps w:val="0"/>
          <w:color w:val="000000"/>
          <w:spacing w:val="0"/>
          <w:sz w:val="32"/>
          <w:szCs w:val="32"/>
          <w:lang w:val="en-US" w:eastAsia="zh-CN"/>
        </w:rPr>
      </w:pPr>
      <w:r>
        <w:rPr>
          <w:rFonts w:hint="eastAsia" w:ascii="仿宋" w:hAnsi="仿宋" w:eastAsia="仿宋" w:cs="仿宋"/>
          <w:b w:val="0"/>
          <w:bCs w:val="0"/>
          <w:i w:val="0"/>
          <w:caps w:val="0"/>
          <w:color w:val="000000"/>
          <w:spacing w:val="0"/>
          <w:sz w:val="32"/>
          <w:szCs w:val="32"/>
          <w:lang w:val="en-US" w:eastAsia="zh-CN"/>
        </w:rPr>
        <w:t>创新者个人的智力创造性贡献是技术创新成果研发成功、获得知识产权保护的关键和基础。在没有合同约定，也不属于职务发明创造的情况下，技术创新成果知识产权归属的认定，应当充分尊重创新者对技术创新成果的智力创造性贡献，遵循</w:t>
      </w:r>
      <w:r>
        <w:rPr>
          <w:rFonts w:hint="eastAsia" w:ascii="仿宋" w:hAnsi="仿宋" w:eastAsia="仿宋" w:cs="仿宋"/>
          <w:b/>
          <w:bCs/>
          <w:i w:val="0"/>
          <w:caps w:val="0"/>
          <w:color w:val="000000"/>
          <w:spacing w:val="0"/>
          <w:sz w:val="32"/>
          <w:szCs w:val="32"/>
          <w:lang w:val="en-US" w:eastAsia="zh-CN"/>
        </w:rPr>
        <w:t>“谁创造，谁享有权利”</w:t>
      </w:r>
      <w:r>
        <w:rPr>
          <w:rFonts w:hint="eastAsia" w:ascii="仿宋" w:hAnsi="仿宋" w:eastAsia="仿宋" w:cs="仿宋"/>
          <w:b w:val="0"/>
          <w:bCs w:val="0"/>
          <w:i w:val="0"/>
          <w:caps w:val="0"/>
          <w:color w:val="000000"/>
          <w:spacing w:val="0"/>
          <w:sz w:val="32"/>
          <w:szCs w:val="32"/>
          <w:lang w:val="en-US" w:eastAsia="zh-CN"/>
        </w:rPr>
        <w:t>的基本规则，让创新者的创造性贡献获得应有回报。例如，在原告某科技公司诉被告某化工科技公司、张某专利申请权权属纠纷一案中，因被告张某离职已超过一年，法院对于被告张某在原告处任职期间完成的技术方案的相同部分认定为职务发明，而对被告张某离职后作出的“存在较大差异的技术内容”，结合被告张某系涉案发明专利申请的两个发明人之一，专利申请日距离其从原告处离职时间已超过两年的事实，不能认定为职务发明，涉案专利申请技术应认定为原告与被告张某现任职的被告某化工科技公司的共同成果，故法院认定诉争专利申请权由原告与被告某化工科技公司共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outlineLvl w:val="1"/>
        <w:rPr>
          <w:rFonts w:hint="eastAsia" w:ascii="仿宋" w:hAnsi="仿宋" w:eastAsia="仿宋" w:cs="仿宋"/>
          <w:b w:val="0"/>
          <w:bCs w:val="0"/>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lang w:val="en-US" w:eastAsia="zh-CN"/>
        </w:rPr>
        <w:t>（四）严厉打击影响创新的不诚信行为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3"/>
        <w:jc w:val="both"/>
        <w:textAlignment w:val="auto"/>
        <w:rPr>
          <w:rFonts w:hint="eastAsia" w:ascii="仿宋" w:hAnsi="仿宋" w:eastAsia="仿宋" w:cs="仿宋"/>
          <w:b w:val="0"/>
          <w:bCs w:val="0"/>
          <w:i w:val="0"/>
          <w:caps w:val="0"/>
          <w:color w:val="000000"/>
          <w:spacing w:val="0"/>
          <w:sz w:val="32"/>
          <w:szCs w:val="32"/>
          <w:lang w:val="en-US" w:eastAsia="zh-CN"/>
        </w:rPr>
      </w:pPr>
      <w:r>
        <w:rPr>
          <w:rFonts w:hint="eastAsia" w:ascii="仿宋" w:hAnsi="仿宋" w:eastAsia="仿宋" w:cs="仿宋"/>
          <w:b w:val="0"/>
          <w:bCs w:val="0"/>
          <w:i w:val="0"/>
          <w:caps w:val="0"/>
          <w:color w:val="000000"/>
          <w:spacing w:val="0"/>
          <w:sz w:val="32"/>
          <w:szCs w:val="32"/>
          <w:lang w:val="en-US" w:eastAsia="zh-CN"/>
        </w:rPr>
        <w:t>民事主体从事民事活动，应当遵循诚实信用原则，秉持诚实，恪守承诺。技术创新成果研发创造的过程也属于民事活动，相关主体均应遵循诚实信用的基本原则。对于在技术创新成果研发及保护过程中的不诚信行为，应当采取严厉措施予以惩治，遵循</w:t>
      </w:r>
      <w:r>
        <w:rPr>
          <w:rFonts w:hint="eastAsia" w:ascii="仿宋" w:hAnsi="仿宋" w:eastAsia="仿宋" w:cs="仿宋"/>
          <w:b/>
          <w:bCs/>
          <w:i w:val="0"/>
          <w:caps w:val="0"/>
          <w:color w:val="000000"/>
          <w:spacing w:val="0"/>
          <w:sz w:val="32"/>
          <w:szCs w:val="32"/>
          <w:lang w:val="en-US" w:eastAsia="zh-CN"/>
        </w:rPr>
        <w:t>“谁破坏创新，谁必然承担责任”</w:t>
      </w:r>
      <w:r>
        <w:rPr>
          <w:rFonts w:hint="eastAsia" w:ascii="仿宋" w:hAnsi="仿宋" w:eastAsia="仿宋" w:cs="仿宋"/>
          <w:b w:val="0"/>
          <w:bCs w:val="0"/>
          <w:i w:val="0"/>
          <w:caps w:val="0"/>
          <w:color w:val="000000"/>
          <w:spacing w:val="0"/>
          <w:sz w:val="32"/>
          <w:szCs w:val="32"/>
          <w:lang w:val="en-US" w:eastAsia="zh-CN"/>
        </w:rPr>
        <w:t>的基本规则，让在创新过程中的不诚信行为人付出应有的代价，从而营造尊重和保护创新的良好氛围。例如，在原告某专用车辆公司与被告某机械设备公司专利权侵权纠纷一案中，法院认为，被告对于包括该案专利在内的系列专利技术来源于原告及其关联公司是明知的。在法院将系争专利权判归原告所有后，被告更应审慎作出影响后续案件所涉专利权效力的行为。被告在该专利权权属纠纷案件审理过程中放弃涉案专利权的行为明显缺乏正当的理由，主观上有恶意，构成对原告合法权益的侵害，应当赔偿原告的相关损失。</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left="640" w:right="0" w:rightChars="0" w:firstLine="0" w:firstLineChars="0"/>
        <w:jc w:val="both"/>
        <w:textAlignment w:val="auto"/>
        <w:outlineLvl w:val="0"/>
        <w:rPr>
          <w:rFonts w:hint="default" w:ascii="仿宋" w:hAnsi="仿宋" w:eastAsia="仿宋" w:cs="仿宋"/>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eastAsia="zh-CN"/>
        </w:rPr>
        <w:t>三、案件审理中反映的主要问题</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1"/>
        <w:rPr>
          <w:rFonts w:hint="eastAsia" w:ascii="仿宋" w:hAnsi="仿宋" w:eastAsia="仿宋" w:cs="仿宋"/>
          <w:b/>
          <w:bCs/>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lang w:val="en-US" w:eastAsia="zh-CN"/>
        </w:rPr>
        <w:t>（一）创新主体的权利意识有待进一步加强</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 w:hAnsi="仿宋" w:eastAsia="仿宋" w:cs="仿宋"/>
          <w:b w:val="0"/>
          <w:bCs w:val="0"/>
          <w:i w:val="0"/>
          <w:caps w:val="0"/>
          <w:color w:val="000000"/>
          <w:spacing w:val="0"/>
          <w:sz w:val="32"/>
          <w:szCs w:val="32"/>
          <w:lang w:val="en-US" w:eastAsia="zh-CN"/>
        </w:rPr>
      </w:pPr>
      <w:r>
        <w:rPr>
          <w:rFonts w:hint="eastAsia" w:ascii="仿宋" w:hAnsi="仿宋" w:eastAsia="仿宋" w:cs="仿宋"/>
          <w:b w:val="0"/>
          <w:bCs w:val="0"/>
          <w:i w:val="0"/>
          <w:caps w:val="0"/>
          <w:color w:val="000000"/>
          <w:spacing w:val="0"/>
          <w:sz w:val="32"/>
          <w:szCs w:val="32"/>
          <w:lang w:val="en-US" w:eastAsia="zh-CN"/>
        </w:rPr>
        <w:t>及时、有效地确定、获得技术创新成果的知识产权对于技术创新成果的转化利用具有重要的支持保障作用。部分案件反映出创新主体仍存在重视项目研发，但忽视知识产权权属约定、随意署名以及未申请知识产权即公开技术成果等问题，严重影响了对技术创新成果的保护和转化应用。一是事先未约定或者未有效约定技术创新成果的权利归属。例如，在原告杨某与被告某装潢设计公司专利权权属纠纷一案中，原告委托被告进行技术开发，但双方并未签订正式合同，未能明确诉争开发成果的知识产权归属，因而产生权属纠纷</w:t>
      </w:r>
      <w:r>
        <w:rPr>
          <w:rFonts w:hint="default" w:ascii="仿宋" w:hAnsi="仿宋" w:eastAsia="仿宋" w:cs="仿宋"/>
          <w:b w:val="0"/>
          <w:bCs w:val="0"/>
          <w:i w:val="0"/>
          <w:caps w:val="0"/>
          <w:color w:val="000000"/>
          <w:spacing w:val="0"/>
          <w:sz w:val="32"/>
          <w:szCs w:val="32"/>
          <w:lang w:val="en" w:eastAsia="zh-CN"/>
        </w:rPr>
        <w:t>。</w:t>
      </w:r>
      <w:r>
        <w:rPr>
          <w:rFonts w:hint="eastAsia" w:ascii="仿宋" w:hAnsi="仿宋" w:eastAsia="仿宋" w:cs="仿宋"/>
          <w:b w:val="0"/>
          <w:bCs w:val="0"/>
          <w:i w:val="0"/>
          <w:caps w:val="0"/>
          <w:color w:val="000000"/>
          <w:spacing w:val="0"/>
          <w:sz w:val="32"/>
          <w:szCs w:val="32"/>
          <w:lang w:val="en-US" w:eastAsia="zh-CN"/>
        </w:rPr>
        <w:t>二是未能对技术创新成果通过规范署名等方式进行公示公告。</w:t>
      </w:r>
      <w:r>
        <w:rPr>
          <w:rFonts w:hint="eastAsia" w:ascii="仿宋" w:hAnsi="仿宋" w:eastAsia="仿宋" w:cs="仿宋"/>
          <w:b w:val="0"/>
          <w:bCs w:val="0"/>
          <w:i w:val="0"/>
          <w:caps w:val="0"/>
          <w:color w:val="000000"/>
          <w:spacing w:val="0"/>
          <w:sz w:val="32"/>
          <w:szCs w:val="32"/>
          <w:highlight w:val="none"/>
          <w:lang w:val="en-US" w:eastAsia="zh-CN"/>
        </w:rPr>
        <w:t>例如，在原告某网络科技公司与被告某市场营销策划公司、第三人刘某等计算机软件著作权权属纠纷一案中，涉案计算机软件1.0.4等版本启动页面中有被告某市场营销策划公司的英文名称，但后续的版本中作了变更，故在涉案软件存在不同署名的情况下，无法根据涉案软件启动页面的署名直接认定被告某市场营销策划公司享有涉案软件的著作权。</w:t>
      </w:r>
      <w:r>
        <w:rPr>
          <w:rFonts w:hint="eastAsia" w:ascii="仿宋" w:hAnsi="仿宋" w:eastAsia="仿宋" w:cs="仿宋"/>
          <w:b w:val="0"/>
          <w:bCs w:val="0"/>
          <w:i w:val="0"/>
          <w:caps w:val="0"/>
          <w:color w:val="000000"/>
          <w:spacing w:val="0"/>
          <w:sz w:val="32"/>
          <w:szCs w:val="32"/>
          <w:lang w:val="en-US" w:eastAsia="zh-CN"/>
        </w:rPr>
        <w:t>三是在未申请专利权前就将技术方案公开，导致技术创新成果无法获得专利权保护。例如，在原告王某某与被告某药业公司等发明创造发明人署名权纠纷、专利权权属纠纷一案中，原告主动将专利文稿交付被告转化运用，并进行了产业化后的利润分配约定，法院认定视为其自行放弃并转让了申请专利的权利。</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1"/>
        <w:rPr>
          <w:rFonts w:hint="eastAsia" w:ascii="仿宋" w:hAnsi="仿宋" w:eastAsia="仿宋" w:cs="仿宋"/>
          <w:b/>
          <w:bCs/>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lang w:val="en-US" w:eastAsia="zh-CN"/>
        </w:rPr>
        <w:t>（二）合作创新的契约意识有待进一步树立</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1"/>
        <w:rPr>
          <w:rFonts w:hint="default" w:ascii="仿宋" w:hAnsi="仿宋" w:eastAsia="仿宋" w:cs="仿宋"/>
          <w:b/>
          <w:bCs/>
          <w:i w:val="0"/>
          <w:caps w:val="0"/>
          <w:color w:val="000000"/>
          <w:spacing w:val="0"/>
          <w:sz w:val="32"/>
          <w:szCs w:val="32"/>
          <w:lang w:val="en-US" w:eastAsia="zh-CN"/>
        </w:rPr>
      </w:pPr>
      <w:r>
        <w:rPr>
          <w:rFonts w:hint="eastAsia" w:ascii="仿宋" w:hAnsi="仿宋" w:eastAsia="仿宋" w:cs="仿宋"/>
          <w:b w:val="0"/>
          <w:bCs w:val="0"/>
          <w:i w:val="0"/>
          <w:caps w:val="0"/>
          <w:color w:val="000000"/>
          <w:spacing w:val="0"/>
          <w:sz w:val="32"/>
          <w:szCs w:val="32"/>
          <w:lang w:val="en-US" w:eastAsia="zh-CN"/>
        </w:rPr>
        <w:t>在社会分工日益专业化的背景下，合作创新已经成为科技创新的重要方式之一。合作创新不仅可以充分发挥不同主体的资源优势，而且有利于提高创新效率。但在合作创新过程中，相关主体缺乏契约意识，违反合同约定的现象较为常见。一是故意不履行合同义务导致合同目的无法实现。</w:t>
      </w:r>
      <w:r>
        <w:rPr>
          <w:rFonts w:hint="eastAsia" w:ascii="仿宋" w:hAnsi="仿宋" w:eastAsia="仿宋" w:cs="仿宋"/>
          <w:b w:val="0"/>
          <w:bCs w:val="0"/>
          <w:i w:val="0"/>
          <w:caps w:val="0"/>
          <w:color w:val="000000"/>
          <w:spacing w:val="0"/>
          <w:sz w:val="32"/>
          <w:szCs w:val="32"/>
          <w:highlight w:val="none"/>
          <w:lang w:val="en-US" w:eastAsia="zh-CN"/>
        </w:rPr>
        <w:t>例如，在原告虞某某与被告某节能科技公司专利权权属纠纷一案中，被告未履行出资和提供物质条件等义务，导致双方签订的合作协议无法继续履行，法院根据双方约定确定原告通知合作协议解除及专利权归原告所有具有事实和法律依据。二是未经合同相对方同意擅自将技术创新成果据为己有。例如，在原告卞某某与被告某教育科技公司计算机软件著作权权属纠纷一案中，原被告均作为涉案计算机软件的合作作者之一，但被告以自己名义向国家版权局申请软件著作权登记，从而引起纠纷。</w:t>
      </w:r>
      <w:r>
        <w:rPr>
          <w:rFonts w:hint="eastAsia" w:ascii="仿宋" w:hAnsi="仿宋" w:eastAsia="仿宋" w:cs="仿宋"/>
          <w:b w:val="0"/>
          <w:bCs w:val="0"/>
          <w:i w:val="0"/>
          <w:caps w:val="0"/>
          <w:color w:val="000000"/>
          <w:spacing w:val="0"/>
          <w:sz w:val="32"/>
          <w:szCs w:val="32"/>
          <w:lang w:val="en-US" w:eastAsia="zh-CN"/>
        </w:rPr>
        <w:t>三是未经合同相对方同意擅自转委托或者转让权利。</w:t>
      </w:r>
      <w:r>
        <w:rPr>
          <w:rFonts w:hint="eastAsia" w:ascii="仿宋" w:hAnsi="仿宋" w:eastAsia="仿宋" w:cs="仿宋"/>
          <w:b w:val="0"/>
          <w:bCs w:val="0"/>
          <w:i w:val="0"/>
          <w:caps w:val="0"/>
          <w:color w:val="000000"/>
          <w:spacing w:val="0"/>
          <w:sz w:val="32"/>
          <w:szCs w:val="32"/>
          <w:highlight w:val="none"/>
          <w:lang w:val="en-US" w:eastAsia="zh-CN"/>
        </w:rPr>
        <w:t>例如，在原告某科技公司与被告某网络科技公司、第三人陆某计算机软件著作权权属纠纷一案中，涉案游戏的客户端程序属于可以独立使用的作品，著作权归第三人所有，但客户端程序的著作权受到被告与第三人有关“不得出售或毁损”约定的限制，故第三人未经被告同意向原告赠与涉案客户端程序著作权的行为属于无权处分，在被告未追认且原告明知存在上述限制的情况下，无法受赠取得涉案游戏客户端程序的著作权，亦无权要求撤销被告就涉案游戏计算机软件程序进行的软件著作权登记。</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1"/>
        <w:rPr>
          <w:rFonts w:hint="eastAsia" w:ascii="仿宋" w:hAnsi="仿宋" w:eastAsia="仿宋" w:cs="仿宋"/>
          <w:b/>
          <w:bCs/>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lang w:val="en-US" w:eastAsia="zh-CN"/>
        </w:rPr>
        <w:t>（三）保护创新的证据意识有待进一步强化</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ascii="仿宋" w:hAnsi="仿宋" w:eastAsia="仿宋" w:cs="仿宋"/>
          <w:b w:val="0"/>
          <w:bCs w:val="0"/>
          <w:i w:val="0"/>
          <w:caps w:val="0"/>
          <w:color w:val="000000"/>
          <w:spacing w:val="0"/>
          <w:sz w:val="32"/>
          <w:szCs w:val="32"/>
          <w:lang w:val="en-US" w:eastAsia="zh-CN"/>
        </w:rPr>
      </w:pPr>
      <w:r>
        <w:rPr>
          <w:rFonts w:hint="eastAsia" w:ascii="仿宋" w:hAnsi="仿宋" w:eastAsia="仿宋" w:cs="仿宋"/>
          <w:b w:val="0"/>
          <w:bCs w:val="0"/>
          <w:i w:val="0"/>
          <w:caps w:val="0"/>
          <w:color w:val="000000"/>
          <w:spacing w:val="0"/>
          <w:sz w:val="32"/>
          <w:szCs w:val="32"/>
          <w:lang w:val="en-US" w:eastAsia="zh-CN"/>
        </w:rPr>
        <w:t>在技术创新成果研发及保护过程中，权利人往往因权利保护意识不强、证据固定意识不充分、维权意识及经验不足等原因而导致权利无法得到保护。</w:t>
      </w:r>
      <w:r>
        <w:rPr>
          <w:rFonts w:hint="eastAsia" w:ascii="仿宋" w:hAnsi="仿宋" w:eastAsia="仿宋" w:cs="仿宋"/>
          <w:b w:val="0"/>
          <w:bCs w:val="0"/>
          <w:i w:val="0"/>
          <w:caps w:val="0"/>
          <w:color w:val="000000"/>
          <w:spacing w:val="0"/>
          <w:sz w:val="32"/>
          <w:szCs w:val="32"/>
          <w:highlight w:val="none"/>
          <w:lang w:val="en-US" w:eastAsia="zh-CN"/>
        </w:rPr>
        <w:t>一是未能做到创新研发全程留痕，导致关键证据缺失。例如，在原告某血液制品公司与被告某生物科技公司、李某某专利权权属纠纷一案中，原告提供的实验记录本仅涉及零散的原始操作记录，并没有对实验过程的总结，无法知晓原告从上述实验步骤中得出了任何实验结论，或者通过上述实验步骤得出了具体方案等，而实验记录本记载的操作步骤与涉案专利技术方案存在诸多区别，法院无法认定涉案专利技术方案在被告李某某任职期间已经完成。</w:t>
      </w:r>
      <w:r>
        <w:rPr>
          <w:rFonts w:hint="eastAsia" w:ascii="仿宋" w:hAnsi="仿宋" w:eastAsia="仿宋" w:cs="仿宋"/>
          <w:b w:val="0"/>
          <w:bCs w:val="0"/>
          <w:i w:val="0"/>
          <w:caps w:val="0"/>
          <w:color w:val="000000"/>
          <w:spacing w:val="0"/>
          <w:sz w:val="32"/>
          <w:szCs w:val="32"/>
          <w:lang w:val="en-US" w:eastAsia="zh-CN"/>
        </w:rPr>
        <w:t>二是未能及时有效保护权利，错失最佳维权时机。例如，在原告曹某某与被告某科技公司等专利权权属纠纷一案中，原告对于涉案专利权于数年前变更为被告的事实，在明知或者应知的情况下，对涉案专利权的归属从未提出任何主张，法院因此推定其明知专利权人变更的事实，视其对专利转让事实已经认可，并驳回其确认权属的请求。三是未能有效收集和提交证据，举证不充分。在许多案件中我们发现，原告对于其要求确认权属的主张、被告对于其提出的抗辩，普遍存在证据收集和提交不充分的问题，尤其是对于关键的研发过程以及职务关系等事实未能充分举证，从而丧失了保护权利的机会。</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1"/>
        <w:rPr>
          <w:rFonts w:hint="eastAsia" w:ascii="仿宋" w:hAnsi="仿宋" w:eastAsia="仿宋" w:cs="仿宋"/>
          <w:b w:val="0"/>
          <w:bCs w:val="0"/>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lang w:val="en-US" w:eastAsia="zh-CN"/>
        </w:rPr>
        <w:t>（四）尊重创新的诚信意识有待进一步提升</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 w:hAnsi="仿宋" w:eastAsia="仿宋" w:cs="仿宋"/>
          <w:b w:val="0"/>
          <w:bCs w:val="0"/>
          <w:i w:val="0"/>
          <w:caps w:val="0"/>
          <w:color w:val="000000"/>
          <w:spacing w:val="0"/>
          <w:sz w:val="32"/>
          <w:szCs w:val="32"/>
          <w:lang w:val="en-US" w:eastAsia="zh-CN"/>
        </w:rPr>
      </w:pPr>
      <w:r>
        <w:rPr>
          <w:rFonts w:hint="eastAsia" w:ascii="仿宋" w:hAnsi="仿宋" w:eastAsia="仿宋" w:cs="仿宋"/>
          <w:b w:val="0"/>
          <w:bCs w:val="0"/>
          <w:i w:val="0"/>
          <w:caps w:val="0"/>
          <w:color w:val="000000"/>
          <w:spacing w:val="0"/>
          <w:sz w:val="32"/>
          <w:szCs w:val="32"/>
          <w:lang w:val="en-US" w:eastAsia="zh-CN"/>
        </w:rPr>
        <w:t>技术创新成果权属案件虽然总量不大，但该类案件反映出的研发人员擅自将职务成果申请专利、公司高管利用职务之便擅自转移专利等不诚信行为，应当引起重视。一是无权处分、利用公司公章实现私利等不诚信行为频发，涉案企业普遍存在章程、制度不规范、不完善的情况，较易出现“钻漏洞”行为。</w:t>
      </w:r>
      <w:r>
        <w:rPr>
          <w:rFonts w:hint="eastAsia" w:ascii="仿宋" w:hAnsi="仿宋" w:eastAsia="仿宋" w:cs="仿宋"/>
          <w:b w:val="0"/>
          <w:bCs w:val="0"/>
          <w:i w:val="0"/>
          <w:caps w:val="0"/>
          <w:color w:val="000000"/>
          <w:spacing w:val="0"/>
          <w:sz w:val="32"/>
          <w:szCs w:val="32"/>
          <w:highlight w:val="none"/>
          <w:lang w:val="en-US" w:eastAsia="zh-CN"/>
        </w:rPr>
        <w:t>例如，在原告某医疗器械公司与被告马某某、某贸易公司专利权权属纠纷一案中，被告马某某作为原告的股东和高管，将涉案专利权无偿转让给其代表的境外公司在中国设立的被告某贸易公司，未经原告股东会或者董事会的同意，违反了公司法相关规定，其行为无效。</w:t>
      </w:r>
      <w:r>
        <w:rPr>
          <w:rFonts w:hint="eastAsia" w:ascii="仿宋" w:hAnsi="仿宋" w:eastAsia="仿宋" w:cs="仿宋"/>
          <w:b w:val="0"/>
          <w:bCs w:val="0"/>
          <w:i w:val="0"/>
          <w:caps w:val="0"/>
          <w:color w:val="000000"/>
          <w:spacing w:val="0"/>
          <w:sz w:val="32"/>
          <w:szCs w:val="32"/>
          <w:lang w:val="en-US" w:eastAsia="zh-CN"/>
        </w:rPr>
        <w:t>二是发明人私自将职务发明申请专利，或者离职后改进职务发明技术方案申请专利现象频发。</w:t>
      </w:r>
      <w:r>
        <w:rPr>
          <w:rFonts w:hint="eastAsia" w:ascii="仿宋" w:hAnsi="仿宋" w:eastAsia="仿宋" w:cs="仿宋"/>
          <w:b w:val="0"/>
          <w:bCs w:val="0"/>
          <w:i w:val="0"/>
          <w:caps w:val="0"/>
          <w:color w:val="000000"/>
          <w:spacing w:val="0"/>
          <w:sz w:val="32"/>
          <w:szCs w:val="32"/>
          <w:highlight w:val="none"/>
          <w:lang w:val="en-US" w:eastAsia="zh-CN"/>
        </w:rPr>
        <w:t>例如，在原告某环保技术公司与被告段某某、唐某专利申请权权属纠纷一案中，被告唐某曾担任原告工艺工程师、设计经理及相关技术部门负责人等职务，并与原告签订保密协议书，约定合同期内从事原告工作或者使用原告工作条件、资金所取得的任何专利均归原告所有，双方另有约定除外。在任职期间，被告唐某通过其母亲被告段某某就相关职务发明创造提出了专利申请。</w:t>
      </w:r>
      <w:r>
        <w:rPr>
          <w:rFonts w:hint="eastAsia" w:ascii="仿宋" w:hAnsi="仿宋" w:eastAsia="仿宋" w:cs="仿宋"/>
          <w:b w:val="0"/>
          <w:bCs w:val="0"/>
          <w:i w:val="0"/>
          <w:caps w:val="0"/>
          <w:color w:val="000000"/>
          <w:spacing w:val="0"/>
          <w:sz w:val="32"/>
          <w:szCs w:val="32"/>
          <w:lang w:val="en-US" w:eastAsia="zh-CN"/>
        </w:rPr>
        <w:t>该类现象反映出发明人缺乏诚信、契约精神和法律意识，而企业对技术创新成果也缺乏有效的制度规范和管理约束。</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left="640" w:leftChars="0" w:right="0" w:rightChars="0"/>
        <w:jc w:val="both"/>
        <w:textAlignment w:val="auto"/>
        <w:outlineLvl w:val="0"/>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四、加强技术创新成果知识产权保护的建议</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rPr>
          <w:rFonts w:hint="eastAsia" w:ascii="仿宋" w:hAnsi="仿宋" w:eastAsia="仿宋" w:cs="仿宋"/>
          <w:b/>
          <w:bCs/>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lang w:val="en-US" w:eastAsia="zh-CN"/>
        </w:rPr>
        <w:t>（一）完善制度规定，织密保护创新的“防护网”</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 w:hAnsi="仿宋" w:eastAsia="仿宋" w:cs="仿宋"/>
          <w:b w:val="0"/>
          <w:bCs w:val="0"/>
          <w:i w:val="0"/>
          <w:caps w:val="0"/>
          <w:color w:val="000000"/>
          <w:spacing w:val="0"/>
          <w:sz w:val="32"/>
          <w:szCs w:val="32"/>
          <w:lang w:val="en-US" w:eastAsia="zh-CN"/>
        </w:rPr>
      </w:pPr>
      <w:r>
        <w:rPr>
          <w:rFonts w:hint="eastAsia" w:ascii="仿宋" w:hAnsi="仿宋" w:eastAsia="仿宋" w:cs="仿宋"/>
          <w:i w:val="0"/>
          <w:caps w:val="0"/>
          <w:color w:val="000000"/>
          <w:spacing w:val="0"/>
          <w:sz w:val="32"/>
          <w:szCs w:val="32"/>
        </w:rPr>
        <w:t>企业</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创新创业团队</w:t>
      </w:r>
      <w:r>
        <w:rPr>
          <w:rFonts w:hint="eastAsia" w:ascii="仿宋" w:hAnsi="仿宋" w:eastAsia="仿宋" w:cs="仿宋"/>
          <w:i w:val="0"/>
          <w:caps w:val="0"/>
          <w:color w:val="000000"/>
          <w:spacing w:val="0"/>
          <w:sz w:val="32"/>
          <w:szCs w:val="32"/>
        </w:rPr>
        <w:t>应当建立</w:t>
      </w:r>
      <w:r>
        <w:rPr>
          <w:rFonts w:hint="eastAsia" w:ascii="仿宋" w:hAnsi="仿宋" w:eastAsia="仿宋" w:cs="仿宋"/>
          <w:i w:val="0"/>
          <w:caps w:val="0"/>
          <w:color w:val="000000"/>
          <w:spacing w:val="0"/>
          <w:sz w:val="32"/>
          <w:szCs w:val="32"/>
          <w:lang w:val="en-US" w:eastAsia="zh-CN"/>
        </w:rPr>
        <w:t>健全保护和支持</w:t>
      </w:r>
      <w:r>
        <w:rPr>
          <w:rFonts w:hint="eastAsia" w:ascii="仿宋" w:hAnsi="仿宋" w:eastAsia="仿宋" w:cs="仿宋"/>
          <w:b w:val="0"/>
          <w:bCs w:val="0"/>
          <w:i w:val="0"/>
          <w:caps w:val="0"/>
          <w:color w:val="000000"/>
          <w:spacing w:val="0"/>
          <w:sz w:val="32"/>
          <w:szCs w:val="32"/>
          <w:lang w:val="en-US" w:eastAsia="zh-CN"/>
        </w:rPr>
        <w:t>创新的制度机制</w:t>
      </w:r>
      <w:r>
        <w:rPr>
          <w:rFonts w:hint="eastAsia" w:ascii="仿宋" w:hAnsi="仿宋" w:eastAsia="仿宋" w:cs="仿宋"/>
          <w:i w:val="0"/>
          <w:caps w:val="0"/>
          <w:color w:val="000000"/>
          <w:spacing w:val="0"/>
          <w:sz w:val="32"/>
          <w:szCs w:val="32"/>
        </w:rPr>
        <w:t>，</w:t>
      </w:r>
      <w:r>
        <w:rPr>
          <w:rFonts w:hint="eastAsia" w:ascii="仿宋" w:hAnsi="仿宋" w:eastAsia="仿宋" w:cs="仿宋"/>
          <w:i w:val="0"/>
          <w:caps w:val="0"/>
          <w:color w:val="000000"/>
          <w:spacing w:val="0"/>
          <w:sz w:val="32"/>
          <w:szCs w:val="32"/>
          <w:lang w:eastAsia="zh-CN"/>
        </w:rPr>
        <w:t>明确技术创新成果保护相关的权利归属、权利保护及激励等事项。</w:t>
      </w:r>
      <w:r>
        <w:rPr>
          <w:rFonts w:hint="eastAsia" w:ascii="仿宋" w:hAnsi="仿宋" w:eastAsia="仿宋" w:cs="仿宋"/>
          <w:b w:val="0"/>
          <w:bCs w:val="0"/>
          <w:i w:val="0"/>
          <w:caps w:val="0"/>
          <w:color w:val="000000"/>
          <w:spacing w:val="0"/>
          <w:sz w:val="32"/>
          <w:szCs w:val="32"/>
          <w:lang w:val="en-US" w:eastAsia="zh-CN"/>
        </w:rPr>
        <w:t>一是健全技术创新成果权利归属制度。企业应当建立技术创新成果权利归属相关规章制度，明确职务发明创造成果的确认机制，厘清职务发明创造和非职务发明创造的边界，引导研发人员形成正确的职务发明创造权利归属意识，避免员工流动过程中产生不必要的纠纷。</w:t>
      </w:r>
      <w:r>
        <w:rPr>
          <w:rFonts w:hint="eastAsia" w:ascii="仿宋" w:hAnsi="仿宋" w:eastAsia="仿宋" w:cs="仿宋"/>
          <w:i w:val="0"/>
          <w:caps w:val="0"/>
          <w:color w:val="000000"/>
          <w:spacing w:val="0"/>
          <w:sz w:val="32"/>
          <w:szCs w:val="32"/>
          <w:lang w:val="en-US" w:eastAsia="zh-CN"/>
        </w:rPr>
        <w:t>创新</w:t>
      </w:r>
      <w:r>
        <w:rPr>
          <w:rFonts w:hint="eastAsia" w:ascii="仿宋" w:hAnsi="仿宋" w:eastAsia="仿宋" w:cs="仿宋"/>
          <w:b w:val="0"/>
          <w:bCs w:val="0"/>
          <w:i w:val="0"/>
          <w:caps w:val="0"/>
          <w:color w:val="000000"/>
          <w:spacing w:val="0"/>
          <w:sz w:val="32"/>
          <w:szCs w:val="32"/>
          <w:lang w:val="en-US" w:eastAsia="zh-CN"/>
        </w:rPr>
        <w:t>创业团队应当提高知识产权保护意识，在组建时签署书面合作协议，对组成成员、团队分工、权益分配，特别是技术创新成果的知识产权权属进行约定，便于日后明确权属、分配利益，避免为技术创新成果的转化埋下隐患。二是健全技术创新成果知识产权保护机制。根据技术创新成果的不同特点和保护需要，确定不同的知识产权保护机制，通过商业秘密、专利权、计算机软件著作权等不同的形式，建立对技术创新成果的立体、全面、协调保护。三是健全创新人才的激励机制。健全职务发明创造奖励报酬机制，合理确定不同类型技术创新成果的奖励报酬标准，不仅可以让创新人才的创造性贡献得到应有回报，不断激发创新人员的创新创造活力，还可以避免创新人员擅自侵占职务发明创造成果，从源头上减少可能发生的纠纷。</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rPr>
          <w:rFonts w:hint="eastAsia" w:ascii="仿宋" w:hAnsi="仿宋" w:eastAsia="仿宋" w:cs="仿宋"/>
          <w:b/>
          <w:bCs/>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lang w:val="en-US" w:eastAsia="zh-CN"/>
        </w:rPr>
        <w:t>（二）健全流程管理，筑牢保护创新的“防火墙”</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 w:hAnsi="仿宋" w:eastAsia="仿宋" w:cs="仿宋"/>
          <w:b w:val="0"/>
          <w:bCs w:val="0"/>
          <w:i w:val="0"/>
          <w:caps w:val="0"/>
          <w:color w:val="000000"/>
          <w:spacing w:val="0"/>
          <w:sz w:val="32"/>
          <w:szCs w:val="32"/>
          <w:highlight w:val="none"/>
          <w:lang w:val="en-US" w:eastAsia="zh-CN"/>
        </w:rPr>
      </w:pPr>
      <w:r>
        <w:rPr>
          <w:rFonts w:hint="eastAsia" w:ascii="仿宋" w:hAnsi="仿宋" w:eastAsia="仿宋" w:cs="仿宋"/>
          <w:i w:val="0"/>
          <w:caps w:val="0"/>
          <w:color w:val="000000"/>
          <w:spacing w:val="0"/>
          <w:sz w:val="32"/>
          <w:szCs w:val="32"/>
          <w:highlight w:val="none"/>
        </w:rPr>
        <w:t>企业尤其是中小企业应当结合</w:t>
      </w:r>
      <w:r>
        <w:rPr>
          <w:rFonts w:hint="eastAsia" w:ascii="仿宋" w:hAnsi="仿宋" w:eastAsia="仿宋" w:cs="仿宋"/>
          <w:i w:val="0"/>
          <w:caps w:val="0"/>
          <w:color w:val="000000"/>
          <w:spacing w:val="0"/>
          <w:sz w:val="32"/>
          <w:szCs w:val="32"/>
          <w:highlight w:val="none"/>
          <w:lang w:val="en-US" w:eastAsia="zh-CN"/>
        </w:rPr>
        <w:t>创新</w:t>
      </w:r>
      <w:r>
        <w:rPr>
          <w:rFonts w:hint="eastAsia" w:ascii="仿宋" w:hAnsi="仿宋" w:eastAsia="仿宋" w:cs="仿宋"/>
          <w:i w:val="0"/>
          <w:caps w:val="0"/>
          <w:color w:val="000000"/>
          <w:spacing w:val="0"/>
          <w:sz w:val="32"/>
          <w:szCs w:val="32"/>
          <w:highlight w:val="none"/>
        </w:rPr>
        <w:t>实际和行业特点，建立</w:t>
      </w:r>
      <w:r>
        <w:rPr>
          <w:rFonts w:hint="eastAsia" w:ascii="仿宋" w:hAnsi="仿宋" w:eastAsia="仿宋" w:cs="仿宋"/>
          <w:i w:val="0"/>
          <w:caps w:val="0"/>
          <w:color w:val="000000"/>
          <w:spacing w:val="0"/>
          <w:sz w:val="32"/>
          <w:szCs w:val="32"/>
          <w:highlight w:val="none"/>
          <w:lang w:val="en-US" w:eastAsia="zh-CN"/>
        </w:rPr>
        <w:t>科学有效的流程</w:t>
      </w:r>
      <w:r>
        <w:rPr>
          <w:rFonts w:hint="eastAsia" w:ascii="仿宋" w:hAnsi="仿宋" w:eastAsia="仿宋" w:cs="仿宋"/>
          <w:i w:val="0"/>
          <w:caps w:val="0"/>
          <w:color w:val="000000"/>
          <w:spacing w:val="0"/>
          <w:sz w:val="32"/>
          <w:szCs w:val="32"/>
          <w:highlight w:val="none"/>
        </w:rPr>
        <w:t>管理机制。</w:t>
      </w:r>
      <w:r>
        <w:rPr>
          <w:rFonts w:hint="eastAsia" w:ascii="仿宋" w:hAnsi="仿宋" w:eastAsia="仿宋" w:cs="仿宋"/>
          <w:b w:val="0"/>
          <w:bCs w:val="0"/>
          <w:i w:val="0"/>
          <w:caps w:val="0"/>
          <w:color w:val="000000"/>
          <w:spacing w:val="0"/>
          <w:sz w:val="32"/>
          <w:szCs w:val="32"/>
          <w:highlight w:val="none"/>
          <w:lang w:val="en-US" w:eastAsia="zh-CN"/>
        </w:rPr>
        <w:t>一是完善创新活动的流程设计与管理，形成“立项申报-开发执行-项目验收-成果转化”等环节的规范流程，并明确各部门、各岗位的职能职责，为科学有序、权责分明的创新奠定基础。二是在创新的过程中，实时动态做好知识产权风险管控，针对创新流程中程序事项审批、技术查阅公开、成果管理与转化等事项，定期开展风险监控和评估工作。三是健全商业秘密保护机制，利用技术手段，设置技术方案保密措施、权限管理和身份认证系统、审批流程系统，并借助区块链等存证技术实现过程可公证、事后可举证的目标。健全离职人员特别是研发人员离职前的技术成果移交和承诺机制，确保离职人员在离职后不擅自申请职务发明创造。</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rPr>
          <w:rFonts w:hint="eastAsia" w:ascii="仿宋" w:hAnsi="仿宋" w:eastAsia="仿宋" w:cs="仿宋"/>
          <w:b/>
          <w:bCs/>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lang w:val="en-US" w:eastAsia="zh-CN"/>
        </w:rPr>
        <w:t>（三）强化协同保护，弹好保护创新的“协奏曲”</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 w:hAnsi="仿宋" w:eastAsia="仿宋" w:cs="仿宋"/>
          <w:b w:val="0"/>
          <w:bCs w:val="0"/>
          <w:i w:val="0"/>
          <w:caps w:val="0"/>
          <w:color w:val="000000"/>
          <w:spacing w:val="0"/>
          <w:sz w:val="32"/>
          <w:szCs w:val="32"/>
          <w:lang w:val="en-US" w:eastAsia="zh-CN"/>
        </w:rPr>
      </w:pPr>
      <w:r>
        <w:rPr>
          <w:rFonts w:hint="eastAsia" w:ascii="仿宋" w:hAnsi="仿宋" w:eastAsia="仿宋" w:cs="仿宋"/>
          <w:b w:val="0"/>
          <w:bCs w:val="0"/>
          <w:i w:val="0"/>
          <w:caps w:val="0"/>
          <w:color w:val="000000"/>
          <w:spacing w:val="0"/>
          <w:sz w:val="32"/>
          <w:szCs w:val="32"/>
          <w:lang w:val="en-US" w:eastAsia="zh-CN"/>
        </w:rPr>
        <w:t>有关行政部门、行业协会应当加强创新创业过程中知识产权管理与风险防控的指导，着力提升全社会的知识产权保护意识，共同为创新链产业链资金链人才链的深度融合营造良好的知识产权保护环境。一是加强普法宣传，定期组织有关知识产权保护的宣传和培训，通过宣讲法律法规及典型案例，引导企业与个人提升知识产权保护意识。二是强化监督指导，督促企业建立健全知识产权管理和保护机制，及时发现企业经营过程中存在的产权风险和漏洞，提高企业保护知识产权的规范化水平。三是健全行政、司法以及行业协会共同参与的协同保护机制。及时沟通、研讨行政执法、司法审判以及行业协会监督过程中发现的普遍性、典型性问题，形成适合企业、行业特点的解决方案，帮助企业提高创新保护的合规水平。充分发挥各方在保护创新方面的资源优势，在信息互通、纠纷化解、权利保护等方面实现资源共享、优势互补，共同营造有利于创新的良好氛围。</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9"/>
        <w:rPr>
          <w:rFonts w:hint="eastAsia" w:ascii="仿宋" w:hAnsi="仿宋" w:eastAsia="仿宋" w:cs="仿宋"/>
          <w:b/>
          <w:bCs/>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lang w:val="en-US" w:eastAsia="zh-CN"/>
        </w:rPr>
        <w:t>（四）严惩不诚信行为，敲响保护创新的“警示钟”</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ascii="仿宋" w:hAnsi="仿宋" w:eastAsia="仿宋" w:cs="仿宋"/>
          <w:b w:val="0"/>
          <w:bCs w:val="0"/>
          <w:i w:val="0"/>
          <w:caps w:val="0"/>
          <w:color w:val="000000"/>
          <w:spacing w:val="0"/>
          <w:sz w:val="32"/>
          <w:szCs w:val="32"/>
          <w:lang w:val="en-US" w:eastAsia="zh-CN"/>
        </w:rPr>
      </w:pPr>
      <w:r>
        <w:rPr>
          <w:rFonts w:hint="eastAsia" w:ascii="仿宋" w:hAnsi="仿宋" w:eastAsia="仿宋" w:cs="仿宋"/>
          <w:b w:val="0"/>
          <w:bCs w:val="0"/>
          <w:i w:val="0"/>
          <w:caps w:val="0"/>
          <w:color w:val="000000"/>
          <w:spacing w:val="0"/>
          <w:sz w:val="32"/>
          <w:szCs w:val="32"/>
          <w:lang w:val="en-US" w:eastAsia="zh-CN"/>
        </w:rPr>
        <w:t>创新创业具有持续过程长、资金投入大、成果转化难等等特点，创新过程中存在的不诚信和不规范行为往往会极大损害企业或者团队的利益，影响社会创新活力。因此，有必要加大对创新过程中不诚信行为的惩治力度，形成人人尊重创新的良好氛围。</w:t>
      </w:r>
      <w:r>
        <w:rPr>
          <w:rFonts w:hint="eastAsia" w:ascii="仿宋" w:hAnsi="仿宋" w:eastAsia="仿宋" w:cs="仿宋"/>
          <w:b w:val="0"/>
          <w:bCs w:val="0"/>
          <w:i w:val="0"/>
          <w:caps w:val="0"/>
          <w:color w:val="000000"/>
          <w:spacing w:val="0"/>
          <w:sz w:val="32"/>
          <w:szCs w:val="32"/>
          <w:highlight w:val="none"/>
          <w:lang w:val="en-US" w:eastAsia="zh-CN"/>
        </w:rPr>
        <w:t>一是推动建立涉创新创造失信惩戒机制。建议有关部门、行业协会应大力推动行业诚信建设，加强信用监管和行业自律，对于在创新过程中擅自侵占、侵害技术创新成果的企业或者个人，建立失信名单制度，形成并规范对失信者的常态化惩戒机制。</w:t>
      </w:r>
      <w:r>
        <w:rPr>
          <w:rFonts w:hint="eastAsia" w:ascii="仿宋" w:hAnsi="仿宋" w:eastAsia="仿宋" w:cs="仿宋"/>
          <w:b w:val="0"/>
          <w:bCs w:val="0"/>
          <w:i w:val="0"/>
          <w:caps w:val="0"/>
          <w:color w:val="000000"/>
          <w:spacing w:val="0"/>
          <w:sz w:val="32"/>
          <w:szCs w:val="32"/>
          <w:lang w:val="en-US" w:eastAsia="zh-CN"/>
        </w:rPr>
        <w:t>二是健全完善当事人诚信诉讼机制。积极向当事人释明诉讼活动应当遵守诚实信用原则，对于诉讼活动中擅自放弃专利权等失信行为，可以判令失信方赔偿由此造成的损失，必要时还应给予相应的民事制裁，让失信者付出应有的代价。三是共同营造诚实守信的良好创新氛围。通过以案释法、庭审直播等方式在全社会弘扬诚信文化，将社会主义核心价值观融入创新创造各环节、各领域，在全社会形成诚信建设长效机制。</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YTQ2Y2Q1YjMwZjZlOTg0OGI3ZmFkNTU5ZDk0NDYifQ=="/>
  </w:docVars>
  <w:rsids>
    <w:rsidRoot w:val="FFD7D727"/>
    <w:rsid w:val="00342B9E"/>
    <w:rsid w:val="004613A4"/>
    <w:rsid w:val="0047053D"/>
    <w:rsid w:val="007A1658"/>
    <w:rsid w:val="011A4260"/>
    <w:rsid w:val="01E249D5"/>
    <w:rsid w:val="01EE75D4"/>
    <w:rsid w:val="020E0B20"/>
    <w:rsid w:val="022950E4"/>
    <w:rsid w:val="02385327"/>
    <w:rsid w:val="023D16F5"/>
    <w:rsid w:val="02555ED9"/>
    <w:rsid w:val="025A0025"/>
    <w:rsid w:val="026A6531"/>
    <w:rsid w:val="029C1412"/>
    <w:rsid w:val="02E5796C"/>
    <w:rsid w:val="03923490"/>
    <w:rsid w:val="03B04EAF"/>
    <w:rsid w:val="03BF6FAE"/>
    <w:rsid w:val="03C07382"/>
    <w:rsid w:val="03EE2141"/>
    <w:rsid w:val="041B3946"/>
    <w:rsid w:val="04CA4768"/>
    <w:rsid w:val="051223AB"/>
    <w:rsid w:val="0532605E"/>
    <w:rsid w:val="054B6C6E"/>
    <w:rsid w:val="055A5917"/>
    <w:rsid w:val="057358F3"/>
    <w:rsid w:val="058247C3"/>
    <w:rsid w:val="05900FD6"/>
    <w:rsid w:val="059130FC"/>
    <w:rsid w:val="05C50C80"/>
    <w:rsid w:val="05D215EF"/>
    <w:rsid w:val="05E01F5E"/>
    <w:rsid w:val="05EE467B"/>
    <w:rsid w:val="05FC5ED8"/>
    <w:rsid w:val="0622489C"/>
    <w:rsid w:val="064747B7"/>
    <w:rsid w:val="06716BE6"/>
    <w:rsid w:val="0679783A"/>
    <w:rsid w:val="067E5D4D"/>
    <w:rsid w:val="068E3768"/>
    <w:rsid w:val="06994536"/>
    <w:rsid w:val="06B428E6"/>
    <w:rsid w:val="06B95C17"/>
    <w:rsid w:val="06BC16B6"/>
    <w:rsid w:val="06C92C46"/>
    <w:rsid w:val="06DD024B"/>
    <w:rsid w:val="07177C01"/>
    <w:rsid w:val="07390F0F"/>
    <w:rsid w:val="07461F0C"/>
    <w:rsid w:val="07B11905"/>
    <w:rsid w:val="080771A3"/>
    <w:rsid w:val="081859DF"/>
    <w:rsid w:val="081952B3"/>
    <w:rsid w:val="0837398B"/>
    <w:rsid w:val="08471E20"/>
    <w:rsid w:val="08C84AC1"/>
    <w:rsid w:val="08CC47E6"/>
    <w:rsid w:val="08E208BC"/>
    <w:rsid w:val="08EB6F8B"/>
    <w:rsid w:val="08EE6740"/>
    <w:rsid w:val="09390360"/>
    <w:rsid w:val="09B6253B"/>
    <w:rsid w:val="09CB082F"/>
    <w:rsid w:val="09DA2ABE"/>
    <w:rsid w:val="09E828BD"/>
    <w:rsid w:val="09F408B5"/>
    <w:rsid w:val="09FBE559"/>
    <w:rsid w:val="0A0755FA"/>
    <w:rsid w:val="0A535F6B"/>
    <w:rsid w:val="0A582122"/>
    <w:rsid w:val="0A634F01"/>
    <w:rsid w:val="0A7B04A7"/>
    <w:rsid w:val="0A8541CC"/>
    <w:rsid w:val="0A9F0B6A"/>
    <w:rsid w:val="0ADD5DCA"/>
    <w:rsid w:val="0AEC6CAF"/>
    <w:rsid w:val="0AEF054D"/>
    <w:rsid w:val="0AFB144A"/>
    <w:rsid w:val="0B6568B0"/>
    <w:rsid w:val="0B7A3E5D"/>
    <w:rsid w:val="0B84338B"/>
    <w:rsid w:val="0B994B71"/>
    <w:rsid w:val="0C0544CC"/>
    <w:rsid w:val="0C22507E"/>
    <w:rsid w:val="0C57284E"/>
    <w:rsid w:val="0C640DEF"/>
    <w:rsid w:val="0C6F19D7"/>
    <w:rsid w:val="0C6F7B97"/>
    <w:rsid w:val="0C9245D9"/>
    <w:rsid w:val="0D2C5A88"/>
    <w:rsid w:val="0D4A5F0F"/>
    <w:rsid w:val="0D9B41A6"/>
    <w:rsid w:val="0DF4426E"/>
    <w:rsid w:val="0E09650A"/>
    <w:rsid w:val="0E3C7F4D"/>
    <w:rsid w:val="0E655C94"/>
    <w:rsid w:val="0E6730AE"/>
    <w:rsid w:val="0E813BB2"/>
    <w:rsid w:val="0EA0672E"/>
    <w:rsid w:val="0EA43809"/>
    <w:rsid w:val="0EAB2129"/>
    <w:rsid w:val="0EE85CA3"/>
    <w:rsid w:val="0EF32D57"/>
    <w:rsid w:val="0F670559"/>
    <w:rsid w:val="0F671838"/>
    <w:rsid w:val="0F6E4136"/>
    <w:rsid w:val="0FA47B58"/>
    <w:rsid w:val="0FB22C0A"/>
    <w:rsid w:val="0FD0094D"/>
    <w:rsid w:val="0FFF9C28"/>
    <w:rsid w:val="10354C54"/>
    <w:rsid w:val="10523A58"/>
    <w:rsid w:val="10535364"/>
    <w:rsid w:val="105405A9"/>
    <w:rsid w:val="10A32505"/>
    <w:rsid w:val="10B26F2C"/>
    <w:rsid w:val="10D26947"/>
    <w:rsid w:val="10D426BF"/>
    <w:rsid w:val="10DA51BE"/>
    <w:rsid w:val="11005262"/>
    <w:rsid w:val="1106123C"/>
    <w:rsid w:val="11361987"/>
    <w:rsid w:val="113B722F"/>
    <w:rsid w:val="115B6701"/>
    <w:rsid w:val="11651569"/>
    <w:rsid w:val="118063A3"/>
    <w:rsid w:val="119F2CCD"/>
    <w:rsid w:val="11B20C52"/>
    <w:rsid w:val="11BE642B"/>
    <w:rsid w:val="11FA1CBF"/>
    <w:rsid w:val="124B2A25"/>
    <w:rsid w:val="12535865"/>
    <w:rsid w:val="125C1E7B"/>
    <w:rsid w:val="12C86253"/>
    <w:rsid w:val="13143247"/>
    <w:rsid w:val="134578A4"/>
    <w:rsid w:val="135F19E2"/>
    <w:rsid w:val="136C0E80"/>
    <w:rsid w:val="139D7C5D"/>
    <w:rsid w:val="140C03C2"/>
    <w:rsid w:val="141F4A57"/>
    <w:rsid w:val="14382F65"/>
    <w:rsid w:val="14586EAD"/>
    <w:rsid w:val="145D6D27"/>
    <w:rsid w:val="1468384A"/>
    <w:rsid w:val="147026FF"/>
    <w:rsid w:val="14DE69A3"/>
    <w:rsid w:val="155C2C83"/>
    <w:rsid w:val="15BE4129"/>
    <w:rsid w:val="15F64E85"/>
    <w:rsid w:val="15FF01DE"/>
    <w:rsid w:val="16022579"/>
    <w:rsid w:val="161C30B5"/>
    <w:rsid w:val="163A4190"/>
    <w:rsid w:val="167C182F"/>
    <w:rsid w:val="16A0669F"/>
    <w:rsid w:val="16A11295"/>
    <w:rsid w:val="16A518CA"/>
    <w:rsid w:val="17001735"/>
    <w:rsid w:val="17683B61"/>
    <w:rsid w:val="177B3728"/>
    <w:rsid w:val="177F0560"/>
    <w:rsid w:val="17BC1AEB"/>
    <w:rsid w:val="17D44E94"/>
    <w:rsid w:val="17EF3DF3"/>
    <w:rsid w:val="18081D7C"/>
    <w:rsid w:val="181F0DC7"/>
    <w:rsid w:val="18464162"/>
    <w:rsid w:val="189A2440"/>
    <w:rsid w:val="18A92683"/>
    <w:rsid w:val="18DA0A8E"/>
    <w:rsid w:val="18E37943"/>
    <w:rsid w:val="18E72614"/>
    <w:rsid w:val="1927785E"/>
    <w:rsid w:val="19940C3D"/>
    <w:rsid w:val="199E57CD"/>
    <w:rsid w:val="19E7147B"/>
    <w:rsid w:val="19EC0249"/>
    <w:rsid w:val="19EE5FDA"/>
    <w:rsid w:val="19F36883"/>
    <w:rsid w:val="19FFA5DA"/>
    <w:rsid w:val="1A023DF9"/>
    <w:rsid w:val="1A47633F"/>
    <w:rsid w:val="1A646862"/>
    <w:rsid w:val="1A670032"/>
    <w:rsid w:val="1A692698"/>
    <w:rsid w:val="1AAB26E2"/>
    <w:rsid w:val="1ABB6E07"/>
    <w:rsid w:val="1AD62A00"/>
    <w:rsid w:val="1AE479A2"/>
    <w:rsid w:val="1AF220BF"/>
    <w:rsid w:val="1B0B1F02"/>
    <w:rsid w:val="1B140288"/>
    <w:rsid w:val="1B1A29A3"/>
    <w:rsid w:val="1B2B104C"/>
    <w:rsid w:val="1B2C060A"/>
    <w:rsid w:val="1B302485"/>
    <w:rsid w:val="1B4B7A22"/>
    <w:rsid w:val="1B645F55"/>
    <w:rsid w:val="1B6B3C20"/>
    <w:rsid w:val="1B8873E9"/>
    <w:rsid w:val="1BF14125"/>
    <w:rsid w:val="1BFA3188"/>
    <w:rsid w:val="1C2F06C6"/>
    <w:rsid w:val="1C5D3C4D"/>
    <w:rsid w:val="1CE771DD"/>
    <w:rsid w:val="1CEB14BC"/>
    <w:rsid w:val="1D0F3D70"/>
    <w:rsid w:val="1D2D2603"/>
    <w:rsid w:val="1D320E99"/>
    <w:rsid w:val="1D4D5CD3"/>
    <w:rsid w:val="1D951428"/>
    <w:rsid w:val="1D9E208B"/>
    <w:rsid w:val="1DA376A1"/>
    <w:rsid w:val="1DC647C6"/>
    <w:rsid w:val="1DD42131"/>
    <w:rsid w:val="1DD754C4"/>
    <w:rsid w:val="1DDE12AF"/>
    <w:rsid w:val="1DFA1CBF"/>
    <w:rsid w:val="1DFFF84C"/>
    <w:rsid w:val="1E1A414E"/>
    <w:rsid w:val="1E5D0198"/>
    <w:rsid w:val="1E6C776F"/>
    <w:rsid w:val="1E8A260F"/>
    <w:rsid w:val="1EBB5FF9"/>
    <w:rsid w:val="1EBD56A0"/>
    <w:rsid w:val="1EEFEFF5"/>
    <w:rsid w:val="1F8D0609"/>
    <w:rsid w:val="1FC55FF4"/>
    <w:rsid w:val="1FDF6DD8"/>
    <w:rsid w:val="1FFBA177"/>
    <w:rsid w:val="206A6B9C"/>
    <w:rsid w:val="20AE781D"/>
    <w:rsid w:val="20DA6E18"/>
    <w:rsid w:val="20DD0DE3"/>
    <w:rsid w:val="20F59BA0"/>
    <w:rsid w:val="213E4CAB"/>
    <w:rsid w:val="21625939"/>
    <w:rsid w:val="21A61F7C"/>
    <w:rsid w:val="21A652CF"/>
    <w:rsid w:val="21AD4F92"/>
    <w:rsid w:val="21B7196D"/>
    <w:rsid w:val="21C127EB"/>
    <w:rsid w:val="221E7C3E"/>
    <w:rsid w:val="22355B4E"/>
    <w:rsid w:val="22460EF1"/>
    <w:rsid w:val="22561186"/>
    <w:rsid w:val="22665BF5"/>
    <w:rsid w:val="228F4698"/>
    <w:rsid w:val="22E76282"/>
    <w:rsid w:val="23981BEB"/>
    <w:rsid w:val="23C23E08"/>
    <w:rsid w:val="23C71027"/>
    <w:rsid w:val="23D031BA"/>
    <w:rsid w:val="242F2F45"/>
    <w:rsid w:val="2435301D"/>
    <w:rsid w:val="243C43AB"/>
    <w:rsid w:val="24412F4F"/>
    <w:rsid w:val="24C103DC"/>
    <w:rsid w:val="24D630AF"/>
    <w:rsid w:val="2500362B"/>
    <w:rsid w:val="250749B9"/>
    <w:rsid w:val="250D7AF6"/>
    <w:rsid w:val="253D662D"/>
    <w:rsid w:val="256618B1"/>
    <w:rsid w:val="257260E8"/>
    <w:rsid w:val="258400EB"/>
    <w:rsid w:val="25950517"/>
    <w:rsid w:val="25AB7587"/>
    <w:rsid w:val="25D93EB1"/>
    <w:rsid w:val="260809E9"/>
    <w:rsid w:val="263D8808"/>
    <w:rsid w:val="26704BBE"/>
    <w:rsid w:val="268C786C"/>
    <w:rsid w:val="269009DE"/>
    <w:rsid w:val="269422E2"/>
    <w:rsid w:val="26A87861"/>
    <w:rsid w:val="26C22823"/>
    <w:rsid w:val="26D47EB6"/>
    <w:rsid w:val="26D673CE"/>
    <w:rsid w:val="26F23CF9"/>
    <w:rsid w:val="27504984"/>
    <w:rsid w:val="27602AA7"/>
    <w:rsid w:val="276A055F"/>
    <w:rsid w:val="276B56D3"/>
    <w:rsid w:val="277753D3"/>
    <w:rsid w:val="27950F35"/>
    <w:rsid w:val="27BF2852"/>
    <w:rsid w:val="27C60B5C"/>
    <w:rsid w:val="27CB6288"/>
    <w:rsid w:val="27DE596A"/>
    <w:rsid w:val="27EBACE6"/>
    <w:rsid w:val="28184BB8"/>
    <w:rsid w:val="285C326E"/>
    <w:rsid w:val="2881374C"/>
    <w:rsid w:val="288422FF"/>
    <w:rsid w:val="289C41D2"/>
    <w:rsid w:val="28A661CE"/>
    <w:rsid w:val="29155C55"/>
    <w:rsid w:val="29171044"/>
    <w:rsid w:val="295116DC"/>
    <w:rsid w:val="29644161"/>
    <w:rsid w:val="29671ECA"/>
    <w:rsid w:val="2970380B"/>
    <w:rsid w:val="298F6E32"/>
    <w:rsid w:val="299F8360"/>
    <w:rsid w:val="29C025DD"/>
    <w:rsid w:val="29C15A7E"/>
    <w:rsid w:val="2A495A74"/>
    <w:rsid w:val="2A52606A"/>
    <w:rsid w:val="2A5A558B"/>
    <w:rsid w:val="2A7E7812"/>
    <w:rsid w:val="2AD85A0F"/>
    <w:rsid w:val="2B0374EF"/>
    <w:rsid w:val="2B3611B3"/>
    <w:rsid w:val="2B531099"/>
    <w:rsid w:val="2B77289D"/>
    <w:rsid w:val="2B824D9A"/>
    <w:rsid w:val="2BA93CBD"/>
    <w:rsid w:val="2BB801F5"/>
    <w:rsid w:val="2BFF28B7"/>
    <w:rsid w:val="2C6F64B6"/>
    <w:rsid w:val="2C884632"/>
    <w:rsid w:val="2C9009DD"/>
    <w:rsid w:val="2CBD5904"/>
    <w:rsid w:val="2CC66CD6"/>
    <w:rsid w:val="2CFE66A2"/>
    <w:rsid w:val="2D4C5B9E"/>
    <w:rsid w:val="2D6B65DD"/>
    <w:rsid w:val="2D6C3DB8"/>
    <w:rsid w:val="2DA239F0"/>
    <w:rsid w:val="2DB31B82"/>
    <w:rsid w:val="2DCC4DC8"/>
    <w:rsid w:val="2DFD0F2D"/>
    <w:rsid w:val="2DFE26D1"/>
    <w:rsid w:val="2E210FF1"/>
    <w:rsid w:val="2E65C687"/>
    <w:rsid w:val="2E720D18"/>
    <w:rsid w:val="2E954CF7"/>
    <w:rsid w:val="2EB476CD"/>
    <w:rsid w:val="2EF46CED"/>
    <w:rsid w:val="2F2D7712"/>
    <w:rsid w:val="2F3F9C10"/>
    <w:rsid w:val="2FC936AE"/>
    <w:rsid w:val="2FEA9594"/>
    <w:rsid w:val="300414D2"/>
    <w:rsid w:val="30422D49"/>
    <w:rsid w:val="30562E2C"/>
    <w:rsid w:val="30590093"/>
    <w:rsid w:val="30D27FFF"/>
    <w:rsid w:val="30EB33E1"/>
    <w:rsid w:val="30F1219A"/>
    <w:rsid w:val="31184882"/>
    <w:rsid w:val="314A0727"/>
    <w:rsid w:val="319B4849"/>
    <w:rsid w:val="31A838A8"/>
    <w:rsid w:val="31E16592"/>
    <w:rsid w:val="32110115"/>
    <w:rsid w:val="32472899"/>
    <w:rsid w:val="325B2B58"/>
    <w:rsid w:val="329D2012"/>
    <w:rsid w:val="32C24615"/>
    <w:rsid w:val="32D508E5"/>
    <w:rsid w:val="32DB1233"/>
    <w:rsid w:val="32DB47E8"/>
    <w:rsid w:val="32E75E2A"/>
    <w:rsid w:val="33107D3E"/>
    <w:rsid w:val="3325122C"/>
    <w:rsid w:val="332E5AD3"/>
    <w:rsid w:val="3357099D"/>
    <w:rsid w:val="335A71A2"/>
    <w:rsid w:val="335D7E9A"/>
    <w:rsid w:val="33997124"/>
    <w:rsid w:val="33B421B0"/>
    <w:rsid w:val="33D44600"/>
    <w:rsid w:val="33E22C61"/>
    <w:rsid w:val="33E83305"/>
    <w:rsid w:val="34833D46"/>
    <w:rsid w:val="34C57A2A"/>
    <w:rsid w:val="34D0497D"/>
    <w:rsid w:val="354632DC"/>
    <w:rsid w:val="354F2DD5"/>
    <w:rsid w:val="355E392F"/>
    <w:rsid w:val="357C6D59"/>
    <w:rsid w:val="35926521"/>
    <w:rsid w:val="35BF9BD9"/>
    <w:rsid w:val="35D00FF0"/>
    <w:rsid w:val="35D25D18"/>
    <w:rsid w:val="35E58A5C"/>
    <w:rsid w:val="35FF348B"/>
    <w:rsid w:val="3610546C"/>
    <w:rsid w:val="365026C2"/>
    <w:rsid w:val="36723C5D"/>
    <w:rsid w:val="36AC53C0"/>
    <w:rsid w:val="36C1154D"/>
    <w:rsid w:val="36F40CC3"/>
    <w:rsid w:val="370A4EA2"/>
    <w:rsid w:val="37D798B7"/>
    <w:rsid w:val="37D92540"/>
    <w:rsid w:val="37ED7A3F"/>
    <w:rsid w:val="37EF36EB"/>
    <w:rsid w:val="37F80854"/>
    <w:rsid w:val="3801798E"/>
    <w:rsid w:val="3835F5A6"/>
    <w:rsid w:val="384446AF"/>
    <w:rsid w:val="38755791"/>
    <w:rsid w:val="38804D57"/>
    <w:rsid w:val="38821694"/>
    <w:rsid w:val="389820A0"/>
    <w:rsid w:val="38D1110E"/>
    <w:rsid w:val="391C7E1A"/>
    <w:rsid w:val="39693062"/>
    <w:rsid w:val="397228F1"/>
    <w:rsid w:val="3984769D"/>
    <w:rsid w:val="3A1E05E6"/>
    <w:rsid w:val="3A38596C"/>
    <w:rsid w:val="3A3E6C77"/>
    <w:rsid w:val="3A57617D"/>
    <w:rsid w:val="3A646CDA"/>
    <w:rsid w:val="3A8C79E3"/>
    <w:rsid w:val="3ABB2076"/>
    <w:rsid w:val="3AE0789A"/>
    <w:rsid w:val="3AE3337B"/>
    <w:rsid w:val="3AFA1CCE"/>
    <w:rsid w:val="3B225C86"/>
    <w:rsid w:val="3B3116F6"/>
    <w:rsid w:val="3B675D5A"/>
    <w:rsid w:val="3BA983E9"/>
    <w:rsid w:val="3BB20A45"/>
    <w:rsid w:val="3BDF4DD6"/>
    <w:rsid w:val="3BE21884"/>
    <w:rsid w:val="3BE3D3D3"/>
    <w:rsid w:val="3BE7A1A0"/>
    <w:rsid w:val="3C093FD2"/>
    <w:rsid w:val="3C1540C0"/>
    <w:rsid w:val="3C2551DB"/>
    <w:rsid w:val="3C437A2A"/>
    <w:rsid w:val="3C5E430C"/>
    <w:rsid w:val="3C6127A9"/>
    <w:rsid w:val="3C683B38"/>
    <w:rsid w:val="3C7A5207"/>
    <w:rsid w:val="3CA93CE0"/>
    <w:rsid w:val="3CCD5814"/>
    <w:rsid w:val="3CFF7082"/>
    <w:rsid w:val="3D2A7B7D"/>
    <w:rsid w:val="3D2F0AF9"/>
    <w:rsid w:val="3D3D6D72"/>
    <w:rsid w:val="3D4D47C3"/>
    <w:rsid w:val="3D57265A"/>
    <w:rsid w:val="3D77EE54"/>
    <w:rsid w:val="3D94161B"/>
    <w:rsid w:val="3DBB413B"/>
    <w:rsid w:val="3DE7CF28"/>
    <w:rsid w:val="3DFBCDD6"/>
    <w:rsid w:val="3DFF9C06"/>
    <w:rsid w:val="3E2E4DBE"/>
    <w:rsid w:val="3E3A1DE7"/>
    <w:rsid w:val="3E703177"/>
    <w:rsid w:val="3E7466D3"/>
    <w:rsid w:val="3E7FD084"/>
    <w:rsid w:val="3EAD38DF"/>
    <w:rsid w:val="3EFB41F2"/>
    <w:rsid w:val="3EFF8687"/>
    <w:rsid w:val="3F3FDEBB"/>
    <w:rsid w:val="3F7C5578"/>
    <w:rsid w:val="3F8250A5"/>
    <w:rsid w:val="3F9E76F2"/>
    <w:rsid w:val="3FA550A3"/>
    <w:rsid w:val="3FB935EA"/>
    <w:rsid w:val="3FBF0457"/>
    <w:rsid w:val="3FC357CF"/>
    <w:rsid w:val="3FC714BD"/>
    <w:rsid w:val="3FFBA906"/>
    <w:rsid w:val="3FFF08E5"/>
    <w:rsid w:val="3FFFA0BD"/>
    <w:rsid w:val="3FFFD180"/>
    <w:rsid w:val="3FFFF5DF"/>
    <w:rsid w:val="40769082"/>
    <w:rsid w:val="40BC5A0A"/>
    <w:rsid w:val="40F67552"/>
    <w:rsid w:val="411903B1"/>
    <w:rsid w:val="41246142"/>
    <w:rsid w:val="4135678C"/>
    <w:rsid w:val="41763400"/>
    <w:rsid w:val="4176647B"/>
    <w:rsid w:val="418264D8"/>
    <w:rsid w:val="418C76FA"/>
    <w:rsid w:val="41C04416"/>
    <w:rsid w:val="41CB6ADE"/>
    <w:rsid w:val="41E225DE"/>
    <w:rsid w:val="41E9396D"/>
    <w:rsid w:val="41EA0DF0"/>
    <w:rsid w:val="41EB28BD"/>
    <w:rsid w:val="41ED17A8"/>
    <w:rsid w:val="41F34B42"/>
    <w:rsid w:val="42872140"/>
    <w:rsid w:val="42FD1D9D"/>
    <w:rsid w:val="431C567C"/>
    <w:rsid w:val="432C3065"/>
    <w:rsid w:val="43477590"/>
    <w:rsid w:val="434D7F2B"/>
    <w:rsid w:val="437FF257"/>
    <w:rsid w:val="438576C5"/>
    <w:rsid w:val="43AA0EDA"/>
    <w:rsid w:val="43AD45AC"/>
    <w:rsid w:val="43F32881"/>
    <w:rsid w:val="440700DA"/>
    <w:rsid w:val="44484334"/>
    <w:rsid w:val="44660CEC"/>
    <w:rsid w:val="448B20E6"/>
    <w:rsid w:val="44980D44"/>
    <w:rsid w:val="44D471BC"/>
    <w:rsid w:val="44FE3A5A"/>
    <w:rsid w:val="451D487E"/>
    <w:rsid w:val="45211AC1"/>
    <w:rsid w:val="45390767"/>
    <w:rsid w:val="45460E2C"/>
    <w:rsid w:val="45D97854"/>
    <w:rsid w:val="45DB181E"/>
    <w:rsid w:val="45E561F9"/>
    <w:rsid w:val="46195EA3"/>
    <w:rsid w:val="464333A1"/>
    <w:rsid w:val="46AA2F9F"/>
    <w:rsid w:val="46AB7443"/>
    <w:rsid w:val="46C33E66"/>
    <w:rsid w:val="46D30F78"/>
    <w:rsid w:val="46E33A03"/>
    <w:rsid w:val="47610630"/>
    <w:rsid w:val="476FB777"/>
    <w:rsid w:val="47745A86"/>
    <w:rsid w:val="477F790C"/>
    <w:rsid w:val="478A7899"/>
    <w:rsid w:val="47BA0741"/>
    <w:rsid w:val="47BD5C24"/>
    <w:rsid w:val="47F24BFD"/>
    <w:rsid w:val="47FF41F4"/>
    <w:rsid w:val="480B121E"/>
    <w:rsid w:val="48350410"/>
    <w:rsid w:val="48A24875"/>
    <w:rsid w:val="48CE566A"/>
    <w:rsid w:val="48D82045"/>
    <w:rsid w:val="491A23A6"/>
    <w:rsid w:val="49217E1E"/>
    <w:rsid w:val="494859DF"/>
    <w:rsid w:val="49797B7C"/>
    <w:rsid w:val="49861AA1"/>
    <w:rsid w:val="4999531C"/>
    <w:rsid w:val="49CC6010"/>
    <w:rsid w:val="49DC5B65"/>
    <w:rsid w:val="49E71892"/>
    <w:rsid w:val="49E74148"/>
    <w:rsid w:val="49F27137"/>
    <w:rsid w:val="49F44C5D"/>
    <w:rsid w:val="49FD4614"/>
    <w:rsid w:val="4AC736C5"/>
    <w:rsid w:val="4ADD084A"/>
    <w:rsid w:val="4AEC627C"/>
    <w:rsid w:val="4AF8077D"/>
    <w:rsid w:val="4B0146E0"/>
    <w:rsid w:val="4B5B3C46"/>
    <w:rsid w:val="4B700699"/>
    <w:rsid w:val="4B7324F9"/>
    <w:rsid w:val="4B771FE9"/>
    <w:rsid w:val="4B7D0ED9"/>
    <w:rsid w:val="4B984A35"/>
    <w:rsid w:val="4BB440F5"/>
    <w:rsid w:val="4BC52D55"/>
    <w:rsid w:val="4BCB5E91"/>
    <w:rsid w:val="4BDE6AD8"/>
    <w:rsid w:val="4BF4363A"/>
    <w:rsid w:val="4BFD7988"/>
    <w:rsid w:val="4C220C25"/>
    <w:rsid w:val="4C8C46AE"/>
    <w:rsid w:val="4CB40FE7"/>
    <w:rsid w:val="4CF03E01"/>
    <w:rsid w:val="4CF11A96"/>
    <w:rsid w:val="4D081CA0"/>
    <w:rsid w:val="4D3D0964"/>
    <w:rsid w:val="4D64241B"/>
    <w:rsid w:val="4E0062C6"/>
    <w:rsid w:val="4E083655"/>
    <w:rsid w:val="4E1F5352"/>
    <w:rsid w:val="4E2568E5"/>
    <w:rsid w:val="4E740E10"/>
    <w:rsid w:val="4E7B3B9E"/>
    <w:rsid w:val="4EA8236B"/>
    <w:rsid w:val="4EB56A7D"/>
    <w:rsid w:val="4EC50763"/>
    <w:rsid w:val="4ECF03F7"/>
    <w:rsid w:val="4EF0739F"/>
    <w:rsid w:val="4EF73813"/>
    <w:rsid w:val="4F147B4F"/>
    <w:rsid w:val="4F181FA6"/>
    <w:rsid w:val="4F563CC4"/>
    <w:rsid w:val="4F6C798B"/>
    <w:rsid w:val="4F7115C6"/>
    <w:rsid w:val="4F778663"/>
    <w:rsid w:val="4F9B5B7A"/>
    <w:rsid w:val="4FAC25CD"/>
    <w:rsid w:val="4FEB52CE"/>
    <w:rsid w:val="4FF7BDF1"/>
    <w:rsid w:val="4FFB318E"/>
    <w:rsid w:val="501A73E7"/>
    <w:rsid w:val="502D0EC8"/>
    <w:rsid w:val="504A1E43"/>
    <w:rsid w:val="508D1E65"/>
    <w:rsid w:val="508D5BDC"/>
    <w:rsid w:val="509C188B"/>
    <w:rsid w:val="50D91050"/>
    <w:rsid w:val="50D97500"/>
    <w:rsid w:val="50E7376D"/>
    <w:rsid w:val="50EC3E2B"/>
    <w:rsid w:val="511E6BD5"/>
    <w:rsid w:val="517423B3"/>
    <w:rsid w:val="519F5CE4"/>
    <w:rsid w:val="51B1088E"/>
    <w:rsid w:val="51D535C6"/>
    <w:rsid w:val="51E240A5"/>
    <w:rsid w:val="51EF41A3"/>
    <w:rsid w:val="5253273C"/>
    <w:rsid w:val="52D348F1"/>
    <w:rsid w:val="52D95337"/>
    <w:rsid w:val="52E07522"/>
    <w:rsid w:val="531B5950"/>
    <w:rsid w:val="532675E0"/>
    <w:rsid w:val="53551013"/>
    <w:rsid w:val="535B3F9E"/>
    <w:rsid w:val="539D6365"/>
    <w:rsid w:val="53A427DC"/>
    <w:rsid w:val="53ED54FF"/>
    <w:rsid w:val="54072C67"/>
    <w:rsid w:val="54686973"/>
    <w:rsid w:val="549A0AF6"/>
    <w:rsid w:val="54A5575B"/>
    <w:rsid w:val="54DAA7CA"/>
    <w:rsid w:val="54EEF489"/>
    <w:rsid w:val="55366C0C"/>
    <w:rsid w:val="556FF300"/>
    <w:rsid w:val="5576766B"/>
    <w:rsid w:val="5579070C"/>
    <w:rsid w:val="55AD4DDB"/>
    <w:rsid w:val="55BFFD40"/>
    <w:rsid w:val="55D818D6"/>
    <w:rsid w:val="55ED25E2"/>
    <w:rsid w:val="562D2167"/>
    <w:rsid w:val="56350AD7"/>
    <w:rsid w:val="56712C77"/>
    <w:rsid w:val="56793052"/>
    <w:rsid w:val="567C20AC"/>
    <w:rsid w:val="56951575"/>
    <w:rsid w:val="56A44DD9"/>
    <w:rsid w:val="56AA41C5"/>
    <w:rsid w:val="56B44F0B"/>
    <w:rsid w:val="56D65986"/>
    <w:rsid w:val="56F20776"/>
    <w:rsid w:val="57000CAF"/>
    <w:rsid w:val="57AD5C4B"/>
    <w:rsid w:val="57BE1393"/>
    <w:rsid w:val="57BFA388"/>
    <w:rsid w:val="57D3B9C7"/>
    <w:rsid w:val="57F624E8"/>
    <w:rsid w:val="58005114"/>
    <w:rsid w:val="58247055"/>
    <w:rsid w:val="582708F3"/>
    <w:rsid w:val="587B41F8"/>
    <w:rsid w:val="589F0489"/>
    <w:rsid w:val="58C66489"/>
    <w:rsid w:val="592667AB"/>
    <w:rsid w:val="59362D4C"/>
    <w:rsid w:val="594352B9"/>
    <w:rsid w:val="5958F32D"/>
    <w:rsid w:val="5959289F"/>
    <w:rsid w:val="595D5BE0"/>
    <w:rsid w:val="596811C3"/>
    <w:rsid w:val="598040C8"/>
    <w:rsid w:val="599D4F60"/>
    <w:rsid w:val="59B81BCF"/>
    <w:rsid w:val="5A2C05B1"/>
    <w:rsid w:val="5A6C059C"/>
    <w:rsid w:val="5A77DA76"/>
    <w:rsid w:val="5A8A39A1"/>
    <w:rsid w:val="5AA31F68"/>
    <w:rsid w:val="5AC00AB3"/>
    <w:rsid w:val="5AE74E62"/>
    <w:rsid w:val="5AEA6650"/>
    <w:rsid w:val="5B0D3DD0"/>
    <w:rsid w:val="5B6F251C"/>
    <w:rsid w:val="5B7FC523"/>
    <w:rsid w:val="5B8068BA"/>
    <w:rsid w:val="5B9DADC7"/>
    <w:rsid w:val="5BBD7217"/>
    <w:rsid w:val="5BBE2E24"/>
    <w:rsid w:val="5BDA38FF"/>
    <w:rsid w:val="5BDD7C46"/>
    <w:rsid w:val="5BEFA1E4"/>
    <w:rsid w:val="5BF71308"/>
    <w:rsid w:val="5C347AE7"/>
    <w:rsid w:val="5C427AAA"/>
    <w:rsid w:val="5C6577BE"/>
    <w:rsid w:val="5C6739B4"/>
    <w:rsid w:val="5C7ACB19"/>
    <w:rsid w:val="5C87422F"/>
    <w:rsid w:val="5CDA5F34"/>
    <w:rsid w:val="5CE96AB8"/>
    <w:rsid w:val="5CFA1279"/>
    <w:rsid w:val="5D0964C8"/>
    <w:rsid w:val="5D2A3A2E"/>
    <w:rsid w:val="5D437F7D"/>
    <w:rsid w:val="5D58160D"/>
    <w:rsid w:val="5D71461B"/>
    <w:rsid w:val="5D760B84"/>
    <w:rsid w:val="5DA16A52"/>
    <w:rsid w:val="5DBF0D03"/>
    <w:rsid w:val="5DF7C154"/>
    <w:rsid w:val="5E3E6E9A"/>
    <w:rsid w:val="5E7374FD"/>
    <w:rsid w:val="5EACE093"/>
    <w:rsid w:val="5EBE78E7"/>
    <w:rsid w:val="5EBEEB1F"/>
    <w:rsid w:val="5ED76186"/>
    <w:rsid w:val="5ED85D88"/>
    <w:rsid w:val="5EDF4C29"/>
    <w:rsid w:val="5EE4309A"/>
    <w:rsid w:val="5EF3D556"/>
    <w:rsid w:val="5EFE9B42"/>
    <w:rsid w:val="5F2314C4"/>
    <w:rsid w:val="5F3F2C17"/>
    <w:rsid w:val="5F4A35F1"/>
    <w:rsid w:val="5F7F3F61"/>
    <w:rsid w:val="5F7FEB96"/>
    <w:rsid w:val="5FA77A15"/>
    <w:rsid w:val="5FAD7A21"/>
    <w:rsid w:val="5FBA204D"/>
    <w:rsid w:val="5FD50C35"/>
    <w:rsid w:val="5FDD5A9B"/>
    <w:rsid w:val="5FDF0EC5"/>
    <w:rsid w:val="5FDF3D02"/>
    <w:rsid w:val="5FE84E0C"/>
    <w:rsid w:val="5FF96AA8"/>
    <w:rsid w:val="5FFF44F1"/>
    <w:rsid w:val="5FFFD0DE"/>
    <w:rsid w:val="603718EF"/>
    <w:rsid w:val="605E6E7C"/>
    <w:rsid w:val="607E0B3E"/>
    <w:rsid w:val="60874625"/>
    <w:rsid w:val="60955FE2"/>
    <w:rsid w:val="60F63448"/>
    <w:rsid w:val="61333E65"/>
    <w:rsid w:val="618650F2"/>
    <w:rsid w:val="6189763D"/>
    <w:rsid w:val="61904685"/>
    <w:rsid w:val="61BE3C4A"/>
    <w:rsid w:val="620B12F8"/>
    <w:rsid w:val="62434CC0"/>
    <w:rsid w:val="626B0696"/>
    <w:rsid w:val="62816E52"/>
    <w:rsid w:val="62B31701"/>
    <w:rsid w:val="62C70D09"/>
    <w:rsid w:val="62E73159"/>
    <w:rsid w:val="631E0F7D"/>
    <w:rsid w:val="63216389"/>
    <w:rsid w:val="639A641D"/>
    <w:rsid w:val="63B374DF"/>
    <w:rsid w:val="63BA05F6"/>
    <w:rsid w:val="63CF601A"/>
    <w:rsid w:val="63D336DD"/>
    <w:rsid w:val="63F91937"/>
    <w:rsid w:val="63FADDA2"/>
    <w:rsid w:val="640D3093"/>
    <w:rsid w:val="64237999"/>
    <w:rsid w:val="642E6B65"/>
    <w:rsid w:val="644278BE"/>
    <w:rsid w:val="644A7E43"/>
    <w:rsid w:val="647EAFF1"/>
    <w:rsid w:val="6488096B"/>
    <w:rsid w:val="64903DCF"/>
    <w:rsid w:val="64D53FC2"/>
    <w:rsid w:val="64D911C7"/>
    <w:rsid w:val="64E738E4"/>
    <w:rsid w:val="65424FBE"/>
    <w:rsid w:val="655A5E64"/>
    <w:rsid w:val="6561BCDF"/>
    <w:rsid w:val="658A2FD9"/>
    <w:rsid w:val="65A753BA"/>
    <w:rsid w:val="65AE7F5E"/>
    <w:rsid w:val="65DE0E2E"/>
    <w:rsid w:val="65F2A6F9"/>
    <w:rsid w:val="65F52FFF"/>
    <w:rsid w:val="664F1741"/>
    <w:rsid w:val="66730EC9"/>
    <w:rsid w:val="66AC1012"/>
    <w:rsid w:val="66B1441B"/>
    <w:rsid w:val="66BF943E"/>
    <w:rsid w:val="66D4828D"/>
    <w:rsid w:val="66D86595"/>
    <w:rsid w:val="66E234D5"/>
    <w:rsid w:val="672901E4"/>
    <w:rsid w:val="67595122"/>
    <w:rsid w:val="6771ACA4"/>
    <w:rsid w:val="67A96C2F"/>
    <w:rsid w:val="67B35CFF"/>
    <w:rsid w:val="67D3F538"/>
    <w:rsid w:val="67DF0D35"/>
    <w:rsid w:val="67E61F27"/>
    <w:rsid w:val="67EB3E1A"/>
    <w:rsid w:val="67F792A5"/>
    <w:rsid w:val="68064081"/>
    <w:rsid w:val="687DCEC5"/>
    <w:rsid w:val="68A93884"/>
    <w:rsid w:val="68E80164"/>
    <w:rsid w:val="68E87C2B"/>
    <w:rsid w:val="68F47416"/>
    <w:rsid w:val="690D2E3C"/>
    <w:rsid w:val="69164798"/>
    <w:rsid w:val="696956C0"/>
    <w:rsid w:val="69823F57"/>
    <w:rsid w:val="69855479"/>
    <w:rsid w:val="698906F6"/>
    <w:rsid w:val="698B6C53"/>
    <w:rsid w:val="69B561D4"/>
    <w:rsid w:val="69FDD2A2"/>
    <w:rsid w:val="6A173ED7"/>
    <w:rsid w:val="6A373A1B"/>
    <w:rsid w:val="6A3DC784"/>
    <w:rsid w:val="6A7379C8"/>
    <w:rsid w:val="6A7A16B8"/>
    <w:rsid w:val="6A7B6483"/>
    <w:rsid w:val="6A84653E"/>
    <w:rsid w:val="6A955389"/>
    <w:rsid w:val="6A97BBB2"/>
    <w:rsid w:val="6AFF561E"/>
    <w:rsid w:val="6B596EC6"/>
    <w:rsid w:val="6B6F63E1"/>
    <w:rsid w:val="6B875FEF"/>
    <w:rsid w:val="6B904FCA"/>
    <w:rsid w:val="6BBA3B00"/>
    <w:rsid w:val="6BBB1626"/>
    <w:rsid w:val="6BD74DAC"/>
    <w:rsid w:val="6BF04C75"/>
    <w:rsid w:val="6BF73B58"/>
    <w:rsid w:val="6BF98F47"/>
    <w:rsid w:val="6C6836CD"/>
    <w:rsid w:val="6C8C31C0"/>
    <w:rsid w:val="6CA364AD"/>
    <w:rsid w:val="6CAB6FEC"/>
    <w:rsid w:val="6CD81D64"/>
    <w:rsid w:val="6CDDB8DC"/>
    <w:rsid w:val="6D214316"/>
    <w:rsid w:val="6D572567"/>
    <w:rsid w:val="6D797599"/>
    <w:rsid w:val="6D8F5D9E"/>
    <w:rsid w:val="6D9F737C"/>
    <w:rsid w:val="6DC02F24"/>
    <w:rsid w:val="6DED5779"/>
    <w:rsid w:val="6DF72F17"/>
    <w:rsid w:val="6E3A4A84"/>
    <w:rsid w:val="6E5536D9"/>
    <w:rsid w:val="6E6F49E0"/>
    <w:rsid w:val="6E7F8188"/>
    <w:rsid w:val="6EB123B2"/>
    <w:rsid w:val="6EB83BFB"/>
    <w:rsid w:val="6EC90D1D"/>
    <w:rsid w:val="6EDD4B75"/>
    <w:rsid w:val="6EDE9596"/>
    <w:rsid w:val="6EDFAE6E"/>
    <w:rsid w:val="6EEE09E0"/>
    <w:rsid w:val="6EF447BF"/>
    <w:rsid w:val="6EF72976"/>
    <w:rsid w:val="6EFC61DE"/>
    <w:rsid w:val="6EFD1213"/>
    <w:rsid w:val="6EFFA0CA"/>
    <w:rsid w:val="6F132CD7"/>
    <w:rsid w:val="6F467459"/>
    <w:rsid w:val="6F4F4560"/>
    <w:rsid w:val="6F5953DE"/>
    <w:rsid w:val="6F5A0E8D"/>
    <w:rsid w:val="6F5A4CB2"/>
    <w:rsid w:val="6F5ABE27"/>
    <w:rsid w:val="6F751AEC"/>
    <w:rsid w:val="6F77059D"/>
    <w:rsid w:val="6F77F15E"/>
    <w:rsid w:val="6F7D656E"/>
    <w:rsid w:val="6F7F60C7"/>
    <w:rsid w:val="6F7F83F1"/>
    <w:rsid w:val="6F9E2F64"/>
    <w:rsid w:val="6FBD7147"/>
    <w:rsid w:val="6FCFF217"/>
    <w:rsid w:val="6FD54AE6"/>
    <w:rsid w:val="6FD8F543"/>
    <w:rsid w:val="6FDDA231"/>
    <w:rsid w:val="6FDE4668"/>
    <w:rsid w:val="6FE50A20"/>
    <w:rsid w:val="6FE56C52"/>
    <w:rsid w:val="6FE7395E"/>
    <w:rsid w:val="6FE93140"/>
    <w:rsid w:val="6FEFFDD7"/>
    <w:rsid w:val="6FF60574"/>
    <w:rsid w:val="6FFC957E"/>
    <w:rsid w:val="6FFF8AEE"/>
    <w:rsid w:val="70097D21"/>
    <w:rsid w:val="70125274"/>
    <w:rsid w:val="703448E1"/>
    <w:rsid w:val="705431DA"/>
    <w:rsid w:val="707B043A"/>
    <w:rsid w:val="70B76860"/>
    <w:rsid w:val="70CB79CD"/>
    <w:rsid w:val="710C022E"/>
    <w:rsid w:val="71263826"/>
    <w:rsid w:val="713F23B2"/>
    <w:rsid w:val="71773453"/>
    <w:rsid w:val="717F6F98"/>
    <w:rsid w:val="71956476"/>
    <w:rsid w:val="71B2527A"/>
    <w:rsid w:val="71ED05FD"/>
    <w:rsid w:val="71F5711F"/>
    <w:rsid w:val="71FC9A52"/>
    <w:rsid w:val="71FE04BF"/>
    <w:rsid w:val="7214383E"/>
    <w:rsid w:val="727F515C"/>
    <w:rsid w:val="728C5ACB"/>
    <w:rsid w:val="728E0764"/>
    <w:rsid w:val="72D66D46"/>
    <w:rsid w:val="72DF5BFA"/>
    <w:rsid w:val="72EE2F6F"/>
    <w:rsid w:val="72EE5E3E"/>
    <w:rsid w:val="732F5E58"/>
    <w:rsid w:val="734C7EDF"/>
    <w:rsid w:val="73536541"/>
    <w:rsid w:val="735B2308"/>
    <w:rsid w:val="735B3FFC"/>
    <w:rsid w:val="737554C3"/>
    <w:rsid w:val="7395275D"/>
    <w:rsid w:val="739B6D9E"/>
    <w:rsid w:val="739F201D"/>
    <w:rsid w:val="73BE8C5D"/>
    <w:rsid w:val="73DF007C"/>
    <w:rsid w:val="73F76F5F"/>
    <w:rsid w:val="742B746E"/>
    <w:rsid w:val="747EF6C9"/>
    <w:rsid w:val="74B5BDB5"/>
    <w:rsid w:val="74B851AF"/>
    <w:rsid w:val="74BB7F20"/>
    <w:rsid w:val="74C54420"/>
    <w:rsid w:val="74CD0422"/>
    <w:rsid w:val="74F31E31"/>
    <w:rsid w:val="751C6643"/>
    <w:rsid w:val="751F6782"/>
    <w:rsid w:val="757B026B"/>
    <w:rsid w:val="7598129D"/>
    <w:rsid w:val="75B7FCD0"/>
    <w:rsid w:val="75BB3EAD"/>
    <w:rsid w:val="75CB6D7E"/>
    <w:rsid w:val="75CBB690"/>
    <w:rsid w:val="75CD61DE"/>
    <w:rsid w:val="75DA5E30"/>
    <w:rsid w:val="75DC499F"/>
    <w:rsid w:val="75ED5876"/>
    <w:rsid w:val="7610256F"/>
    <w:rsid w:val="7662726E"/>
    <w:rsid w:val="766340BE"/>
    <w:rsid w:val="766823AB"/>
    <w:rsid w:val="76856AB9"/>
    <w:rsid w:val="768E0063"/>
    <w:rsid w:val="76ADD3DF"/>
    <w:rsid w:val="76D66468"/>
    <w:rsid w:val="76FE68A4"/>
    <w:rsid w:val="77069FB2"/>
    <w:rsid w:val="7711154F"/>
    <w:rsid w:val="771BA0D5"/>
    <w:rsid w:val="7727E0F7"/>
    <w:rsid w:val="772AEFD4"/>
    <w:rsid w:val="773437F6"/>
    <w:rsid w:val="773B1EC6"/>
    <w:rsid w:val="77414717"/>
    <w:rsid w:val="774C1EF1"/>
    <w:rsid w:val="77592D0E"/>
    <w:rsid w:val="775B350F"/>
    <w:rsid w:val="775B3F98"/>
    <w:rsid w:val="775E029C"/>
    <w:rsid w:val="775F1524"/>
    <w:rsid w:val="776DD903"/>
    <w:rsid w:val="777E45B3"/>
    <w:rsid w:val="779E07BB"/>
    <w:rsid w:val="77A64F39"/>
    <w:rsid w:val="77B14EC1"/>
    <w:rsid w:val="77D759B8"/>
    <w:rsid w:val="77E70819"/>
    <w:rsid w:val="77E74627"/>
    <w:rsid w:val="77E7C267"/>
    <w:rsid w:val="77EB5041"/>
    <w:rsid w:val="77F72DBE"/>
    <w:rsid w:val="77FB968B"/>
    <w:rsid w:val="77FE5632"/>
    <w:rsid w:val="77FEF5E8"/>
    <w:rsid w:val="783E7867"/>
    <w:rsid w:val="78475292"/>
    <w:rsid w:val="784D1D22"/>
    <w:rsid w:val="786A065C"/>
    <w:rsid w:val="78F63C9E"/>
    <w:rsid w:val="790E43A6"/>
    <w:rsid w:val="79237F98"/>
    <w:rsid w:val="79332FC4"/>
    <w:rsid w:val="796C3FF7"/>
    <w:rsid w:val="7977BEC4"/>
    <w:rsid w:val="799C72EB"/>
    <w:rsid w:val="79DFC4E9"/>
    <w:rsid w:val="79E24918"/>
    <w:rsid w:val="79EB757B"/>
    <w:rsid w:val="79EFD1F5"/>
    <w:rsid w:val="7A20325B"/>
    <w:rsid w:val="7A3F3423"/>
    <w:rsid w:val="7A72B51C"/>
    <w:rsid w:val="7AEC944A"/>
    <w:rsid w:val="7AED87D3"/>
    <w:rsid w:val="7AF5E0D0"/>
    <w:rsid w:val="7AFAA655"/>
    <w:rsid w:val="7AFFC0BB"/>
    <w:rsid w:val="7AFFD22C"/>
    <w:rsid w:val="7B034424"/>
    <w:rsid w:val="7B0FEF88"/>
    <w:rsid w:val="7B4EF069"/>
    <w:rsid w:val="7B7969C5"/>
    <w:rsid w:val="7B833160"/>
    <w:rsid w:val="7B871525"/>
    <w:rsid w:val="7B8E0A3D"/>
    <w:rsid w:val="7BA619AB"/>
    <w:rsid w:val="7BAD43FB"/>
    <w:rsid w:val="7BAF1F21"/>
    <w:rsid w:val="7BBD7CCB"/>
    <w:rsid w:val="7BC78B17"/>
    <w:rsid w:val="7BD333B8"/>
    <w:rsid w:val="7BD36518"/>
    <w:rsid w:val="7BD66919"/>
    <w:rsid w:val="7BF55BAC"/>
    <w:rsid w:val="7BF7DB90"/>
    <w:rsid w:val="7BFE4772"/>
    <w:rsid w:val="7BFFCCAF"/>
    <w:rsid w:val="7C1508DF"/>
    <w:rsid w:val="7C2C6CF3"/>
    <w:rsid w:val="7C441B76"/>
    <w:rsid w:val="7C5FFDB9"/>
    <w:rsid w:val="7C77D724"/>
    <w:rsid w:val="7C792C1C"/>
    <w:rsid w:val="7C9C0429"/>
    <w:rsid w:val="7CAB1522"/>
    <w:rsid w:val="7CC3033B"/>
    <w:rsid w:val="7CD2057E"/>
    <w:rsid w:val="7CDBE863"/>
    <w:rsid w:val="7CE37DA2"/>
    <w:rsid w:val="7CED33FD"/>
    <w:rsid w:val="7CF4032D"/>
    <w:rsid w:val="7D112047"/>
    <w:rsid w:val="7D1D0582"/>
    <w:rsid w:val="7D3249AA"/>
    <w:rsid w:val="7D4000F3"/>
    <w:rsid w:val="7D4FBD44"/>
    <w:rsid w:val="7D5361E7"/>
    <w:rsid w:val="7D760DBA"/>
    <w:rsid w:val="7DAFF18E"/>
    <w:rsid w:val="7DBB236F"/>
    <w:rsid w:val="7DD445E0"/>
    <w:rsid w:val="7DDD81FE"/>
    <w:rsid w:val="7DE5079C"/>
    <w:rsid w:val="7DFB48C1"/>
    <w:rsid w:val="7DFF2631"/>
    <w:rsid w:val="7DFF3185"/>
    <w:rsid w:val="7E307C52"/>
    <w:rsid w:val="7E3239CA"/>
    <w:rsid w:val="7E3F60E7"/>
    <w:rsid w:val="7E41734E"/>
    <w:rsid w:val="7E5BD97D"/>
    <w:rsid w:val="7E65854E"/>
    <w:rsid w:val="7E6B10BB"/>
    <w:rsid w:val="7E742588"/>
    <w:rsid w:val="7E8F3473"/>
    <w:rsid w:val="7E941F8F"/>
    <w:rsid w:val="7EAA680F"/>
    <w:rsid w:val="7EAED7E1"/>
    <w:rsid w:val="7EBFE830"/>
    <w:rsid w:val="7ED771AC"/>
    <w:rsid w:val="7EDF81EE"/>
    <w:rsid w:val="7EE84089"/>
    <w:rsid w:val="7EEB6E01"/>
    <w:rsid w:val="7EF7109C"/>
    <w:rsid w:val="7EF7317C"/>
    <w:rsid w:val="7EFB4FE2"/>
    <w:rsid w:val="7EFCA482"/>
    <w:rsid w:val="7EFF0DA4"/>
    <w:rsid w:val="7EFF49D5"/>
    <w:rsid w:val="7F1F2754"/>
    <w:rsid w:val="7F3B4457"/>
    <w:rsid w:val="7F406FE6"/>
    <w:rsid w:val="7F47412F"/>
    <w:rsid w:val="7F4F4A37"/>
    <w:rsid w:val="7F5B1B4D"/>
    <w:rsid w:val="7F5B4193"/>
    <w:rsid w:val="7F6D5D57"/>
    <w:rsid w:val="7F6F0E40"/>
    <w:rsid w:val="7F6FE804"/>
    <w:rsid w:val="7F70CB87"/>
    <w:rsid w:val="7F7BE657"/>
    <w:rsid w:val="7F7F0DC2"/>
    <w:rsid w:val="7F7FC9FD"/>
    <w:rsid w:val="7F8336BE"/>
    <w:rsid w:val="7F86582B"/>
    <w:rsid w:val="7F9D30C5"/>
    <w:rsid w:val="7FA51C84"/>
    <w:rsid w:val="7FAD95E7"/>
    <w:rsid w:val="7FADCEC4"/>
    <w:rsid w:val="7FAE2701"/>
    <w:rsid w:val="7FB982A8"/>
    <w:rsid w:val="7FBB82B6"/>
    <w:rsid w:val="7FBB9679"/>
    <w:rsid w:val="7FBD3767"/>
    <w:rsid w:val="7FBE4F58"/>
    <w:rsid w:val="7FBFE624"/>
    <w:rsid w:val="7FBFE74E"/>
    <w:rsid w:val="7FCB73A1"/>
    <w:rsid w:val="7FCF1F29"/>
    <w:rsid w:val="7FCF40B3"/>
    <w:rsid w:val="7FDE4D7F"/>
    <w:rsid w:val="7FDF6BF3"/>
    <w:rsid w:val="7FDFA2F3"/>
    <w:rsid w:val="7FDFB5FA"/>
    <w:rsid w:val="7FEE609C"/>
    <w:rsid w:val="7FEF0CA3"/>
    <w:rsid w:val="7FF7B795"/>
    <w:rsid w:val="7FFA14EC"/>
    <w:rsid w:val="7FFA3158"/>
    <w:rsid w:val="7FFB028E"/>
    <w:rsid w:val="7FFB5B8B"/>
    <w:rsid w:val="7FFD1AFB"/>
    <w:rsid w:val="7FFE243A"/>
    <w:rsid w:val="7FFE67DE"/>
    <w:rsid w:val="7FFE8300"/>
    <w:rsid w:val="7FFE91C2"/>
    <w:rsid w:val="7FFF7795"/>
    <w:rsid w:val="7FFF952B"/>
    <w:rsid w:val="7FFFA98D"/>
    <w:rsid w:val="8DBFBF20"/>
    <w:rsid w:val="9B3B3BD2"/>
    <w:rsid w:val="9BD96B19"/>
    <w:rsid w:val="9DBFCECA"/>
    <w:rsid w:val="9DDE7AB6"/>
    <w:rsid w:val="9EFE0AC4"/>
    <w:rsid w:val="9F2D6519"/>
    <w:rsid w:val="9F300149"/>
    <w:rsid w:val="9F7E43BB"/>
    <w:rsid w:val="9FC79644"/>
    <w:rsid w:val="9FCDAC5E"/>
    <w:rsid w:val="9FD554A9"/>
    <w:rsid w:val="9FF7D0F7"/>
    <w:rsid w:val="9FFDE055"/>
    <w:rsid w:val="A2FCC600"/>
    <w:rsid w:val="A47B03B3"/>
    <w:rsid w:val="A57BC082"/>
    <w:rsid w:val="A7F61D73"/>
    <w:rsid w:val="AAE14A0C"/>
    <w:rsid w:val="ABAF48AE"/>
    <w:rsid w:val="ABFD1D2B"/>
    <w:rsid w:val="ADDB1B55"/>
    <w:rsid w:val="AE77F73D"/>
    <w:rsid w:val="AEFE5EBE"/>
    <w:rsid w:val="AFBDBAE0"/>
    <w:rsid w:val="AFDF1E79"/>
    <w:rsid w:val="AFE8476A"/>
    <w:rsid w:val="B19AAE98"/>
    <w:rsid w:val="B3F79E51"/>
    <w:rsid w:val="B47F4DD9"/>
    <w:rsid w:val="B6BB35C1"/>
    <w:rsid w:val="B6FC4DBC"/>
    <w:rsid w:val="B7CD7269"/>
    <w:rsid w:val="B7E71F4D"/>
    <w:rsid w:val="B7F63D37"/>
    <w:rsid w:val="BAED21BE"/>
    <w:rsid w:val="BAFD274B"/>
    <w:rsid w:val="BBB40B86"/>
    <w:rsid w:val="BBFA341D"/>
    <w:rsid w:val="BBFB0DDD"/>
    <w:rsid w:val="BBFEA3C5"/>
    <w:rsid w:val="BCEF5833"/>
    <w:rsid w:val="BDFE9A64"/>
    <w:rsid w:val="BE5EF1CF"/>
    <w:rsid w:val="BEB9F87E"/>
    <w:rsid w:val="BEE59EE6"/>
    <w:rsid w:val="BFA74BBD"/>
    <w:rsid w:val="BFAFC014"/>
    <w:rsid w:val="BFB3FF62"/>
    <w:rsid w:val="BFBB42EF"/>
    <w:rsid w:val="BFBEDC88"/>
    <w:rsid w:val="BFE974AC"/>
    <w:rsid w:val="BFEC53FE"/>
    <w:rsid w:val="BFF9675D"/>
    <w:rsid w:val="BFFE87F4"/>
    <w:rsid w:val="C295EC49"/>
    <w:rsid w:val="C3DBA9FB"/>
    <w:rsid w:val="C7DF6154"/>
    <w:rsid w:val="C7E65093"/>
    <w:rsid w:val="CBF6526F"/>
    <w:rsid w:val="CBFDFF90"/>
    <w:rsid w:val="CD3B83FF"/>
    <w:rsid w:val="CDDE3318"/>
    <w:rsid w:val="CDFBAA58"/>
    <w:rsid w:val="CEF71809"/>
    <w:rsid w:val="CF2E5B50"/>
    <w:rsid w:val="CFB82873"/>
    <w:rsid w:val="CFBEE176"/>
    <w:rsid w:val="D35D918F"/>
    <w:rsid w:val="D3BF5945"/>
    <w:rsid w:val="D3EF81EE"/>
    <w:rsid w:val="D3FF4348"/>
    <w:rsid w:val="D67515C4"/>
    <w:rsid w:val="D6FF953B"/>
    <w:rsid w:val="D7EF2CE7"/>
    <w:rsid w:val="D7FBB861"/>
    <w:rsid w:val="D7FE9719"/>
    <w:rsid w:val="D9BBC163"/>
    <w:rsid w:val="DB6F84E7"/>
    <w:rsid w:val="DBBFE923"/>
    <w:rsid w:val="DBFB1062"/>
    <w:rsid w:val="DC9B29D2"/>
    <w:rsid w:val="DD7ED9D7"/>
    <w:rsid w:val="DDDFD98C"/>
    <w:rsid w:val="DDE35D0E"/>
    <w:rsid w:val="DDFA5325"/>
    <w:rsid w:val="DE16D56D"/>
    <w:rsid w:val="DE7546FF"/>
    <w:rsid w:val="DE7A7820"/>
    <w:rsid w:val="DE7B0FCB"/>
    <w:rsid w:val="DEBA8457"/>
    <w:rsid w:val="DEDB1627"/>
    <w:rsid w:val="DEFA12D6"/>
    <w:rsid w:val="DEFE3455"/>
    <w:rsid w:val="DEFEFF1C"/>
    <w:rsid w:val="DEFF75DC"/>
    <w:rsid w:val="DF8C1E95"/>
    <w:rsid w:val="DF8E1A5A"/>
    <w:rsid w:val="DFBF9B0F"/>
    <w:rsid w:val="DFC14AC0"/>
    <w:rsid w:val="DFDD624E"/>
    <w:rsid w:val="DFDF1B45"/>
    <w:rsid w:val="DFF88E48"/>
    <w:rsid w:val="DFF9833D"/>
    <w:rsid w:val="E1F7D100"/>
    <w:rsid w:val="E3B567F4"/>
    <w:rsid w:val="E47AB95A"/>
    <w:rsid w:val="E4D7FF27"/>
    <w:rsid w:val="E5798CD2"/>
    <w:rsid w:val="E5F5EE79"/>
    <w:rsid w:val="E5F6FF96"/>
    <w:rsid w:val="E7CADB30"/>
    <w:rsid w:val="E7E9246E"/>
    <w:rsid w:val="EA0FF041"/>
    <w:rsid w:val="EA6B77C0"/>
    <w:rsid w:val="EB739EB7"/>
    <w:rsid w:val="EBEE7D7D"/>
    <w:rsid w:val="EC9A2C13"/>
    <w:rsid w:val="ED730D6A"/>
    <w:rsid w:val="EDFFC0E1"/>
    <w:rsid w:val="EE0D9BD8"/>
    <w:rsid w:val="EEB70781"/>
    <w:rsid w:val="EEB7824E"/>
    <w:rsid w:val="EEBDB13C"/>
    <w:rsid w:val="EEC545D0"/>
    <w:rsid w:val="EEDDC8D0"/>
    <w:rsid w:val="EEDFBA38"/>
    <w:rsid w:val="EEEB75BE"/>
    <w:rsid w:val="EEEF28F4"/>
    <w:rsid w:val="EEF97765"/>
    <w:rsid w:val="EEFF90AB"/>
    <w:rsid w:val="EF9BFD5C"/>
    <w:rsid w:val="EFFB60D7"/>
    <w:rsid w:val="EFFF0CC7"/>
    <w:rsid w:val="F19D1869"/>
    <w:rsid w:val="F1FE8613"/>
    <w:rsid w:val="F273A1FC"/>
    <w:rsid w:val="F2A16B56"/>
    <w:rsid w:val="F38D8638"/>
    <w:rsid w:val="F3F6A3D5"/>
    <w:rsid w:val="F3FF2542"/>
    <w:rsid w:val="F4FF3076"/>
    <w:rsid w:val="F57F540A"/>
    <w:rsid w:val="F5DFFCAB"/>
    <w:rsid w:val="F67CFF9B"/>
    <w:rsid w:val="F6DF5FF8"/>
    <w:rsid w:val="F6E7DC0C"/>
    <w:rsid w:val="F6FFDC86"/>
    <w:rsid w:val="F73D3DA6"/>
    <w:rsid w:val="F73F36B4"/>
    <w:rsid w:val="F78BA6EB"/>
    <w:rsid w:val="F7BF4DCC"/>
    <w:rsid w:val="F7FF084C"/>
    <w:rsid w:val="F7FF5A37"/>
    <w:rsid w:val="F86F429D"/>
    <w:rsid w:val="F96FF7BD"/>
    <w:rsid w:val="F9E6A9E3"/>
    <w:rsid w:val="F9F303B3"/>
    <w:rsid w:val="F9F7CD4E"/>
    <w:rsid w:val="F9FB4A36"/>
    <w:rsid w:val="FADFAFBE"/>
    <w:rsid w:val="FAF612BB"/>
    <w:rsid w:val="FB39A000"/>
    <w:rsid w:val="FB5DBCE8"/>
    <w:rsid w:val="FB5F7EF5"/>
    <w:rsid w:val="FB7B374A"/>
    <w:rsid w:val="FBD509FD"/>
    <w:rsid w:val="FBDEBF14"/>
    <w:rsid w:val="FC2F0478"/>
    <w:rsid w:val="FC3BEA80"/>
    <w:rsid w:val="FC6F02A1"/>
    <w:rsid w:val="FD7E8E5C"/>
    <w:rsid w:val="FDAE0C02"/>
    <w:rsid w:val="FDB67376"/>
    <w:rsid w:val="FDBFB120"/>
    <w:rsid w:val="FDCD1EFD"/>
    <w:rsid w:val="FDDE3B4E"/>
    <w:rsid w:val="FDFFA943"/>
    <w:rsid w:val="FDFFB6D8"/>
    <w:rsid w:val="FE3DEB9B"/>
    <w:rsid w:val="FECF279D"/>
    <w:rsid w:val="FED4ADB4"/>
    <w:rsid w:val="FEEF4D10"/>
    <w:rsid w:val="FEEF6D11"/>
    <w:rsid w:val="FEF7E347"/>
    <w:rsid w:val="FEFBBC92"/>
    <w:rsid w:val="FEFE5A3B"/>
    <w:rsid w:val="FF2FD21C"/>
    <w:rsid w:val="FF488CF2"/>
    <w:rsid w:val="FF6E27A0"/>
    <w:rsid w:val="FF7B493F"/>
    <w:rsid w:val="FF7E0E70"/>
    <w:rsid w:val="FF7F1AE1"/>
    <w:rsid w:val="FF96A976"/>
    <w:rsid w:val="FF9FA136"/>
    <w:rsid w:val="FFAEC6C4"/>
    <w:rsid w:val="FFBAD33C"/>
    <w:rsid w:val="FFBB58BA"/>
    <w:rsid w:val="FFC0C1B1"/>
    <w:rsid w:val="FFD52A4A"/>
    <w:rsid w:val="FFD7D727"/>
    <w:rsid w:val="FFDD2113"/>
    <w:rsid w:val="FFDF8EE6"/>
    <w:rsid w:val="FFEFB6FC"/>
    <w:rsid w:val="FFEFFDE5"/>
    <w:rsid w:val="FFF16BB3"/>
    <w:rsid w:val="FFFB38E6"/>
    <w:rsid w:val="FFFB66F6"/>
    <w:rsid w:val="FFFCB741"/>
    <w:rsid w:val="FFFD505B"/>
    <w:rsid w:val="FFFDC784"/>
    <w:rsid w:val="FFFDCDDA"/>
    <w:rsid w:val="FFFE04AA"/>
    <w:rsid w:val="FFFE6DE6"/>
    <w:rsid w:val="FFFF2C6E"/>
    <w:rsid w:val="FFFFD1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99"/>
    <w:pPr>
      <w:snapToGrid w:val="0"/>
      <w:jc w:val="left"/>
    </w:pPr>
    <w:rPr>
      <w:sz w:val="18"/>
      <w:szCs w:val="18"/>
    </w:rPr>
  </w:style>
  <w:style w:type="paragraph" w:styleId="6">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9">
    <w:name w:val="footnote reference"/>
    <w:basedOn w:val="8"/>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收案数</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Sheet1!$B$2:$B$9</c:f>
              <c:numCache>
                <c:formatCode>General</c:formatCode>
                <c:ptCount val="8"/>
                <c:pt idx="0">
                  <c:v>38</c:v>
                </c:pt>
                <c:pt idx="1">
                  <c:v>45</c:v>
                </c:pt>
                <c:pt idx="2">
                  <c:v>55</c:v>
                </c:pt>
                <c:pt idx="3">
                  <c:v>32</c:v>
                </c:pt>
                <c:pt idx="4">
                  <c:v>54</c:v>
                </c:pt>
                <c:pt idx="5">
                  <c:v>114</c:v>
                </c:pt>
                <c:pt idx="6">
                  <c:v>94</c:v>
                </c:pt>
                <c:pt idx="7">
                  <c:v>57</c:v>
                </c:pt>
              </c:numCache>
            </c:numRef>
          </c:val>
        </c:ser>
        <c:ser>
          <c:idx val="1"/>
          <c:order val="1"/>
          <c:tx>
            <c:strRef>
              <c:f>Sheet1!$C$1</c:f>
              <c:strCache>
                <c:ptCount val="1"/>
                <c:pt idx="0">
                  <c:v>结案数</c:v>
                </c:pt>
              </c:strCache>
            </c:strRef>
          </c:tx>
          <c:spPr>
            <a:gradFill rotWithShape="true">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Sheet1!$C$2:$C$9</c:f>
              <c:numCache>
                <c:formatCode>General</c:formatCode>
                <c:ptCount val="8"/>
                <c:pt idx="0">
                  <c:v>4</c:v>
                </c:pt>
                <c:pt idx="1">
                  <c:v>40</c:v>
                </c:pt>
                <c:pt idx="2">
                  <c:v>39</c:v>
                </c:pt>
                <c:pt idx="3">
                  <c:v>66</c:v>
                </c:pt>
                <c:pt idx="4">
                  <c:v>35</c:v>
                </c:pt>
                <c:pt idx="5">
                  <c:v>68</c:v>
                </c:pt>
                <c:pt idx="6">
                  <c:v>113</c:v>
                </c:pt>
                <c:pt idx="7">
                  <c:v>69</c:v>
                </c:pt>
              </c:numCache>
            </c:numRef>
          </c:val>
        </c:ser>
        <c:dLbls>
          <c:showLegendKey val="false"/>
          <c:showVal val="false"/>
          <c:showCatName val="false"/>
          <c:showSerName val="false"/>
          <c:showPercent val="false"/>
          <c:showBubbleSize val="false"/>
        </c:dLbls>
        <c:gapWidth val="100"/>
        <c:overlap val="-24"/>
        <c:axId val="796934439"/>
        <c:axId val="245447711"/>
      </c:barChart>
      <c:catAx>
        <c:axId val="796934439"/>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245447711"/>
        <c:crosses val="autoZero"/>
        <c:auto val="true"/>
        <c:lblAlgn val="ctr"/>
        <c:lblOffset val="100"/>
        <c:noMultiLvlLbl val="false"/>
      </c:catAx>
      <c:valAx>
        <c:axId val="245447711"/>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796934439"/>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案件数</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Sheet1!$A$2:$A$4</c:f>
              <c:strCache>
                <c:ptCount val="3"/>
                <c:pt idx="0">
                  <c:v>双方均为公司或包含公司</c:v>
                </c:pt>
                <c:pt idx="1">
                  <c:v>仅一方为公司或包含公司</c:v>
                </c:pt>
                <c:pt idx="2">
                  <c:v>双方均为个人</c:v>
                </c:pt>
              </c:strCache>
            </c:strRef>
          </c:cat>
          <c:val>
            <c:numRef>
              <c:f>Sheet1!$B$2:$B$4</c:f>
              <c:numCache>
                <c:formatCode>General</c:formatCode>
                <c:ptCount val="3"/>
                <c:pt idx="0">
                  <c:v>383</c:v>
                </c:pt>
                <c:pt idx="1">
                  <c:v>102</c:v>
                </c:pt>
                <c:pt idx="2">
                  <c:v>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案件数</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Sheet1!$A$2:$A$4</c:f>
              <c:strCache>
                <c:ptCount val="3"/>
                <c:pt idx="0">
                  <c:v>专利权权属纠纷</c:v>
                </c:pt>
                <c:pt idx="1">
                  <c:v>专利申请权权属纠纷</c:v>
                </c:pt>
                <c:pt idx="2">
                  <c:v>计算机软件著作权权属纠纷</c:v>
                </c:pt>
              </c:strCache>
            </c:strRef>
          </c:cat>
          <c:val>
            <c:numRef>
              <c:f>Sheet1!$B$2:$B$4</c:f>
              <c:numCache>
                <c:formatCode>General</c:formatCode>
                <c:ptCount val="3"/>
                <c:pt idx="0">
                  <c:v>309</c:v>
                </c:pt>
                <c:pt idx="1">
                  <c:v>145</c:v>
                </c:pt>
                <c:pt idx="2">
                  <c:v>35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案件数</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Sheet1!$A$2:$A$4</c:f>
              <c:strCache>
                <c:ptCount val="3"/>
                <c:pt idx="0">
                  <c:v>职务关系</c:v>
                </c:pt>
                <c:pt idx="1">
                  <c:v>合同关系</c:v>
                </c:pt>
                <c:pt idx="2">
                  <c:v>侵权关系</c:v>
                </c:pt>
              </c:strCache>
            </c:strRef>
          </c:cat>
          <c:val>
            <c:numRef>
              <c:f>Sheet1!$B$2:$B$4</c:f>
              <c:numCache>
                <c:formatCode>General</c:formatCode>
                <c:ptCount val="3"/>
                <c:pt idx="0">
                  <c:v>128</c:v>
                </c:pt>
                <c:pt idx="1">
                  <c:v>34</c:v>
                </c:pt>
                <c:pt idx="2">
                  <c:v>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案件数</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Sheet1!$A$2:$A$4</c:f>
              <c:strCache>
                <c:ptCount val="3"/>
                <c:pt idx="0">
                  <c:v>判决</c:v>
                </c:pt>
                <c:pt idx="1">
                  <c:v>裁定</c:v>
                </c:pt>
                <c:pt idx="2">
                  <c:v>调解</c:v>
                </c:pt>
              </c:strCache>
            </c:strRef>
          </c:cat>
          <c:val>
            <c:numRef>
              <c:f>Sheet1!$B$2:$B$4</c:f>
              <c:numCache>
                <c:formatCode>General</c:formatCode>
                <c:ptCount val="3"/>
                <c:pt idx="0">
                  <c:v>169</c:v>
                </c:pt>
                <c:pt idx="1">
                  <c:v>224</c:v>
                </c:pt>
                <c:pt idx="2">
                  <c:v>41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6833</Words>
  <Characters>6915</Characters>
  <Lines>0</Lines>
  <Paragraphs>0</Paragraphs>
  <TotalTime>126</TotalTime>
  <ScaleCrop>false</ScaleCrop>
  <LinksUpToDate>false</LinksUpToDate>
  <CharactersWithSpaces>6920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2023-04-02T03:00:00Z</dcterms:created>
  <dc:creator>user</dc:creator>
  <cp:lastModifiedBy>user</cp:lastModifiedBy>
  <cp:lastPrinted>2023-04-17T06:31:00Z</cp:lastPrinted>
  <dcterms:modified xsi:type="dcterms:W3CDTF">2023-04-19T09:02:30Z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E1F3D420ADD7425995DF50BFD563F3FA_13</vt:lpwstr>
  </property>
</Properties>
</file>