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58" w:rsidRDefault="004421A7" w:rsidP="00322682">
      <w:pPr>
        <w:adjustRightInd w:val="0"/>
        <w:snapToGrid w:val="0"/>
        <w:spacing w:line="600" w:lineRule="exact"/>
        <w:jc w:val="center"/>
        <w:rPr>
          <w:rFonts w:ascii="华文中宋" w:eastAsia="华文中宋" w:hAnsi="华文中宋"/>
          <w:b/>
          <w:bCs/>
          <w:sz w:val="44"/>
          <w:szCs w:val="44"/>
        </w:rPr>
      </w:pPr>
      <w:r>
        <w:rPr>
          <w:rFonts w:ascii="华文中宋" w:eastAsia="华文中宋" w:hAnsi="华文中宋" w:hint="eastAsia"/>
          <w:b/>
          <w:bCs/>
          <w:sz w:val="44"/>
          <w:szCs w:val="44"/>
        </w:rPr>
        <w:t>上海金融法院审判工作情况通报</w:t>
      </w:r>
    </w:p>
    <w:p w:rsidR="00362058" w:rsidRPr="00322682" w:rsidRDefault="004421A7" w:rsidP="00322682">
      <w:pPr>
        <w:adjustRightInd w:val="0"/>
        <w:snapToGrid w:val="0"/>
        <w:spacing w:line="600" w:lineRule="exact"/>
        <w:jc w:val="center"/>
        <w:rPr>
          <w:rFonts w:ascii="楷体_GB2312" w:eastAsia="楷体_GB2312" w:hAnsi="华文中宋"/>
          <w:b/>
          <w:bCs/>
          <w:sz w:val="36"/>
          <w:szCs w:val="36"/>
        </w:rPr>
      </w:pPr>
      <w:r w:rsidRPr="00322682">
        <w:rPr>
          <w:rFonts w:ascii="楷体_GB2312" w:eastAsia="楷体_GB2312" w:hAnsi="华文中宋" w:hint="eastAsia"/>
          <w:b/>
          <w:bCs/>
          <w:sz w:val="36"/>
          <w:szCs w:val="36"/>
        </w:rPr>
        <w:t>（2018-2023年）</w:t>
      </w:r>
    </w:p>
    <w:p w:rsidR="00362058" w:rsidRDefault="00362058">
      <w:pPr>
        <w:adjustRightInd w:val="0"/>
        <w:snapToGrid w:val="0"/>
        <w:spacing w:line="360" w:lineRule="auto"/>
        <w:ind w:firstLineChars="200" w:firstLine="721"/>
        <w:rPr>
          <w:rFonts w:ascii="华文中宋" w:eastAsia="华文中宋" w:hAnsi="华文中宋"/>
          <w:b/>
          <w:bCs/>
          <w:sz w:val="36"/>
          <w:szCs w:val="36"/>
        </w:rPr>
      </w:pPr>
    </w:p>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Calibri" w:cs="Times New Roman" w:hint="eastAsia"/>
          <w:sz w:val="32"/>
          <w:szCs w:val="32"/>
        </w:rPr>
        <w:t>上海金融法院成立五年来，始终坚持以习近平新时代中国特色社会主义思想为指导，深入贯彻习近平法治思想，坚持高起点、高速度、高标准、高质量建设“专业化、国际化、智能化”世界一流金融法院，发挥金融审判职能作用，为金融市场主体提供更加公正、高效、便捷、可预期的金融司法服务，不断提升上海法治核心竞争力，保障国家金融战略实施和上海国际金融中心高质量建设。</w:t>
      </w:r>
    </w:p>
    <w:p w:rsidR="00362058" w:rsidRDefault="00362058" w:rsidP="00322682">
      <w:pPr>
        <w:snapToGrid w:val="0"/>
        <w:spacing w:line="600" w:lineRule="exact"/>
        <w:ind w:firstLineChars="200" w:firstLine="640"/>
        <w:rPr>
          <w:rFonts w:ascii="仿宋_GB2312" w:eastAsia="仿宋_GB2312" w:hAnsi="Calibri" w:cs="Times New Roman"/>
          <w:sz w:val="32"/>
          <w:szCs w:val="32"/>
        </w:rPr>
      </w:pPr>
    </w:p>
    <w:p w:rsidR="00362058" w:rsidRPr="00322682" w:rsidRDefault="004421A7" w:rsidP="00322682">
      <w:pPr>
        <w:spacing w:line="600" w:lineRule="exact"/>
        <w:ind w:firstLineChars="200" w:firstLine="640"/>
        <w:rPr>
          <w:rFonts w:ascii="黑体" w:eastAsia="黑体" w:hAnsi="黑体" w:cs="Times New Roman"/>
          <w:color w:val="000000"/>
          <w:sz w:val="32"/>
          <w:szCs w:val="32"/>
        </w:rPr>
      </w:pPr>
      <w:r w:rsidRPr="00322682">
        <w:rPr>
          <w:rFonts w:ascii="黑体" w:eastAsia="黑体" w:hAnsi="黑体" w:cs="Times New Roman" w:hint="eastAsia"/>
          <w:color w:val="000000"/>
          <w:sz w:val="32"/>
          <w:szCs w:val="32"/>
        </w:rPr>
        <w:t>一、案件基本情况</w:t>
      </w:r>
    </w:p>
    <w:p w:rsidR="00362058" w:rsidRPr="00322682" w:rsidRDefault="004421A7" w:rsidP="00322D46">
      <w:pPr>
        <w:spacing w:line="600" w:lineRule="exact"/>
        <w:ind w:firstLineChars="200" w:firstLine="640"/>
        <w:rPr>
          <w:rFonts w:ascii="楷体_GB2312" w:eastAsia="楷体_GB2312" w:hAnsiTheme="minorEastAsia" w:cstheme="minorEastAsia"/>
          <w:b/>
          <w:sz w:val="32"/>
          <w:szCs w:val="32"/>
        </w:rPr>
      </w:pPr>
      <w:r w:rsidRPr="00322682">
        <w:rPr>
          <w:rFonts w:ascii="楷体_GB2312" w:eastAsia="楷体_GB2312" w:hAnsiTheme="minorEastAsia" w:cstheme="minorEastAsia" w:hint="eastAsia"/>
          <w:b/>
          <w:sz w:val="32"/>
          <w:szCs w:val="32"/>
        </w:rPr>
        <w:t>(一)案件数量</w:t>
      </w:r>
    </w:p>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bCs/>
          <w:color w:val="000000"/>
          <w:sz w:val="32"/>
          <w:szCs w:val="32"/>
          <w:shd w:val="clear" w:color="auto" w:fill="FFFFFF"/>
        </w:rPr>
        <w:t>上海金融法院</w:t>
      </w:r>
      <w:r>
        <w:rPr>
          <w:rFonts w:ascii="仿宋_GB2312" w:eastAsia="仿宋_GB2312" w:hAnsi="微软雅黑" w:cs="Times New Roman" w:hint="eastAsia"/>
          <w:bCs/>
          <w:color w:val="000000"/>
          <w:sz w:val="32"/>
          <w:szCs w:val="32"/>
          <w:shd w:val="clear" w:color="auto" w:fill="FFFFFF"/>
        </w:rPr>
        <w:t>自成立以来，共受理各类金融案件</w:t>
      </w:r>
      <w:r w:rsidRPr="005D4C9C">
        <w:rPr>
          <w:rFonts w:ascii="仿宋_GB2312" w:eastAsia="仿宋_GB2312" w:hAnsi="微软雅黑" w:cs="Times New Roman"/>
          <w:bCs/>
          <w:color w:val="000000"/>
          <w:sz w:val="32"/>
          <w:szCs w:val="32"/>
          <w:shd w:val="clear" w:color="auto" w:fill="FFFFFF"/>
        </w:rPr>
        <w:t>41,077</w:t>
      </w:r>
      <w:r>
        <w:rPr>
          <w:rFonts w:ascii="仿宋_GB2312" w:eastAsia="仿宋_GB2312" w:hAnsi="微软雅黑" w:cs="Times New Roman" w:hint="eastAsia"/>
          <w:bCs/>
          <w:color w:val="000000"/>
          <w:sz w:val="32"/>
          <w:szCs w:val="32"/>
          <w:shd w:val="clear" w:color="auto" w:fill="FFFFFF"/>
        </w:rPr>
        <w:t>件</w:t>
      </w:r>
      <w:r>
        <w:rPr>
          <w:rFonts w:ascii="仿宋_GB2312" w:eastAsia="仿宋_GB2312" w:hAnsi="微软雅黑" w:cs="Times New Roman" w:hint="eastAsia"/>
          <w:bCs/>
          <w:color w:val="000000"/>
          <w:sz w:val="32"/>
          <w:szCs w:val="32"/>
          <w:shd w:val="clear" w:color="auto" w:fill="FFFFFF"/>
          <w:vertAlign w:val="superscript"/>
        </w:rPr>
        <w:footnoteReference w:id="2"/>
      </w:r>
      <w:r>
        <w:rPr>
          <w:rFonts w:ascii="仿宋_GB2312" w:eastAsia="仿宋_GB2312" w:hAnsi="微软雅黑" w:cs="Times New Roman" w:hint="eastAsia"/>
          <w:bCs/>
          <w:color w:val="000000"/>
          <w:sz w:val="32"/>
          <w:szCs w:val="32"/>
          <w:shd w:val="clear" w:color="auto" w:fill="FFFFFF"/>
        </w:rPr>
        <w:t>，包括一审案件18</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969件</w:t>
      </w:r>
      <w:r>
        <w:rPr>
          <w:rFonts w:ascii="仿宋_GB2312" w:eastAsia="仿宋_GB2312" w:hAnsi="微软雅黑" w:cs="Times New Roman" w:hint="eastAsia"/>
          <w:color w:val="000000"/>
          <w:sz w:val="32"/>
          <w:szCs w:val="32"/>
          <w:shd w:val="clear" w:color="auto" w:fill="FFFFFF"/>
        </w:rPr>
        <w:t>（不含民特、民撤案件）</w:t>
      </w:r>
      <w:r>
        <w:rPr>
          <w:rFonts w:ascii="仿宋_GB2312" w:eastAsia="仿宋_GB2312" w:hAnsi="微软雅黑" w:cs="Times New Roman" w:hint="eastAsia"/>
          <w:bCs/>
          <w:color w:val="000000"/>
          <w:sz w:val="32"/>
          <w:szCs w:val="32"/>
          <w:shd w:val="clear" w:color="auto" w:fill="FFFFFF"/>
        </w:rPr>
        <w:t>，二审案件8</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011件，</w:t>
      </w:r>
      <w:r>
        <w:rPr>
          <w:rFonts w:ascii="仿宋_GB2312" w:eastAsia="仿宋_GB2312" w:hAnsi="微软雅黑" w:cs="Times New Roman" w:hint="eastAsia"/>
          <w:color w:val="000000"/>
          <w:sz w:val="32"/>
          <w:szCs w:val="32"/>
          <w:shd w:val="clear" w:color="auto" w:fill="FFFFFF"/>
        </w:rPr>
        <w:t>首次执行案件5,447</w:t>
      </w:r>
      <w:r>
        <w:rPr>
          <w:rFonts w:ascii="仿宋_GB2312" w:eastAsia="仿宋_GB2312" w:hAnsi="微软雅黑" w:cs="Times New Roman"/>
          <w:color w:val="000000"/>
          <w:sz w:val="32"/>
          <w:szCs w:val="32"/>
          <w:shd w:val="clear" w:color="auto" w:fill="FFFFFF"/>
        </w:rPr>
        <w:t>件</w:t>
      </w:r>
      <w:r>
        <w:rPr>
          <w:rFonts w:ascii="仿宋_GB2312" w:eastAsia="仿宋_GB2312" w:hAnsi="微软雅黑" w:cs="Times New Roman" w:hint="eastAsia"/>
          <w:bCs/>
          <w:color w:val="000000"/>
          <w:sz w:val="32"/>
          <w:szCs w:val="32"/>
          <w:shd w:val="clear" w:color="auto" w:fill="FFFFFF"/>
        </w:rPr>
        <w:t>。其中2018-2019年度</w:t>
      </w:r>
      <w:r>
        <w:rPr>
          <w:rStyle w:val="a7"/>
          <w:rFonts w:ascii="仿宋_GB2312" w:eastAsia="仿宋_GB2312" w:hAnsi="微软雅黑" w:cs="Times New Roman" w:hint="eastAsia"/>
          <w:bCs/>
          <w:color w:val="000000"/>
          <w:sz w:val="32"/>
          <w:szCs w:val="32"/>
          <w:shd w:val="clear" w:color="auto" w:fill="FFFFFF"/>
        </w:rPr>
        <w:footnoteReference w:id="3"/>
      </w:r>
      <w:r>
        <w:rPr>
          <w:rFonts w:ascii="仿宋_GB2312" w:eastAsia="仿宋_GB2312" w:hAnsi="微软雅黑" w:cs="Times New Roman" w:hint="eastAsia"/>
          <w:bCs/>
          <w:color w:val="000000"/>
          <w:sz w:val="32"/>
          <w:szCs w:val="32"/>
          <w:shd w:val="clear" w:color="auto" w:fill="FFFFFF"/>
        </w:rPr>
        <w:t>受理6</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585件，2019-2020年度受理6</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744件，2020-2021年度受理7</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917件，2021-2022年度受理9</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177件，2022-2023年度受理8</w:t>
      </w:r>
      <w:r>
        <w:rPr>
          <w:rFonts w:ascii="仿宋_GB2312" w:eastAsia="仿宋_GB2312" w:hAnsi="微软雅黑"/>
          <w:bCs/>
          <w:color w:val="000000" w:themeColor="text1"/>
          <w:sz w:val="32"/>
          <w:szCs w:val="32"/>
          <w:shd w:val="clear" w:color="auto" w:fill="FFFFFF"/>
        </w:rPr>
        <w:t>,</w:t>
      </w:r>
      <w:r>
        <w:rPr>
          <w:rFonts w:ascii="仿宋_GB2312" w:eastAsia="仿宋_GB2312" w:hAnsi="微软雅黑" w:hint="eastAsia"/>
          <w:bCs/>
          <w:color w:val="000000" w:themeColor="text1"/>
          <w:sz w:val="32"/>
          <w:szCs w:val="32"/>
          <w:shd w:val="clear" w:color="auto" w:fill="FFFFFF"/>
        </w:rPr>
        <w:t>211</w:t>
      </w:r>
      <w:r>
        <w:rPr>
          <w:rFonts w:ascii="仿宋_GB2312" w:eastAsia="仿宋_GB2312" w:hAnsi="微软雅黑" w:cs="Times New Roman" w:hint="eastAsia"/>
          <w:bCs/>
          <w:color w:val="000000"/>
          <w:sz w:val="32"/>
          <w:szCs w:val="32"/>
          <w:shd w:val="clear" w:color="auto" w:fill="FFFFFF"/>
        </w:rPr>
        <w:t>件</w:t>
      </w:r>
      <w:r>
        <w:rPr>
          <w:rFonts w:ascii="仿宋_GB2312" w:eastAsia="仿宋_GB2312" w:hAnsi="微软雅黑" w:cs="Times New Roman" w:hint="eastAsia"/>
          <w:color w:val="000000"/>
          <w:sz w:val="32"/>
          <w:szCs w:val="32"/>
          <w:shd w:val="clear" w:color="auto" w:fill="FFFFFF"/>
        </w:rPr>
        <w:t>。</w:t>
      </w:r>
    </w:p>
    <w:p w:rsidR="00362058" w:rsidRDefault="004421A7" w:rsidP="00322682">
      <w:pPr>
        <w:spacing w:line="600" w:lineRule="exact"/>
        <w:ind w:firstLineChars="180" w:firstLine="576"/>
        <w:rPr>
          <w:rFonts w:ascii="仿宋_GB2312" w:eastAsia="仿宋_GB2312" w:hAnsi="微软雅黑" w:cs="Times New Roman"/>
          <w:color w:val="000000"/>
          <w:sz w:val="32"/>
          <w:szCs w:val="32"/>
          <w:highlight w:val="yellow"/>
          <w:shd w:val="clear" w:color="auto" w:fill="FFFFFF"/>
        </w:rPr>
      </w:pPr>
      <w:r>
        <w:rPr>
          <w:rFonts w:ascii="仿宋_GB2312" w:eastAsia="仿宋_GB2312" w:hAnsi="微软雅黑" w:cs="Times New Roman" w:hint="eastAsia"/>
          <w:bCs/>
          <w:color w:val="000000"/>
          <w:sz w:val="32"/>
          <w:szCs w:val="32"/>
          <w:shd w:val="clear" w:color="auto" w:fill="FFFFFF"/>
        </w:rPr>
        <w:lastRenderedPageBreak/>
        <w:t>上海金融法院共审结各类金融案件</w:t>
      </w:r>
      <w:r w:rsidRPr="005D4C9C">
        <w:rPr>
          <w:rFonts w:ascii="仿宋_GB2312" w:eastAsia="仿宋_GB2312" w:hAnsi="微软雅黑" w:cs="Times New Roman"/>
          <w:bCs/>
          <w:color w:val="000000"/>
          <w:sz w:val="32"/>
          <w:szCs w:val="32"/>
          <w:shd w:val="clear" w:color="auto" w:fill="FFFFFF"/>
        </w:rPr>
        <w:t>39,594</w:t>
      </w:r>
      <w:r>
        <w:rPr>
          <w:rFonts w:ascii="仿宋_GB2312" w:eastAsia="仿宋_GB2312" w:hAnsi="微软雅黑" w:cs="Times New Roman"/>
          <w:bCs/>
          <w:color w:val="000000"/>
          <w:sz w:val="32"/>
          <w:szCs w:val="32"/>
          <w:shd w:val="clear" w:color="auto" w:fill="FFFFFF"/>
        </w:rPr>
        <w:t>件</w:t>
      </w:r>
      <w:r>
        <w:rPr>
          <w:rFonts w:ascii="仿宋_GB2312" w:eastAsia="仿宋_GB2312" w:hAnsi="微软雅黑" w:cs="Times New Roman" w:hint="eastAsia"/>
          <w:bCs/>
          <w:color w:val="000000"/>
          <w:sz w:val="32"/>
          <w:szCs w:val="32"/>
          <w:shd w:val="clear" w:color="auto" w:fill="FFFFFF"/>
        </w:rPr>
        <w:t>，</w:t>
      </w:r>
      <w:r>
        <w:rPr>
          <w:rStyle w:val="a7"/>
          <w:rFonts w:ascii="仿宋_GB2312" w:eastAsia="仿宋_GB2312" w:hAnsi="微软雅黑" w:cs="Times New Roman"/>
          <w:bCs/>
          <w:color w:val="000000"/>
          <w:sz w:val="32"/>
          <w:szCs w:val="32"/>
          <w:shd w:val="clear" w:color="auto" w:fill="FFFFFF"/>
        </w:rPr>
        <w:footnoteReference w:id="4"/>
      </w:r>
      <w:r>
        <w:rPr>
          <w:rFonts w:ascii="仿宋_GB2312" w:eastAsia="仿宋_GB2312" w:hAnsi="微软雅黑" w:cs="Times New Roman" w:hint="eastAsia"/>
          <w:bCs/>
          <w:color w:val="000000"/>
          <w:sz w:val="32"/>
          <w:szCs w:val="32"/>
          <w:shd w:val="clear" w:color="auto" w:fill="FFFFFF"/>
        </w:rPr>
        <w:t>包括</w:t>
      </w:r>
      <w:r>
        <w:rPr>
          <w:rFonts w:ascii="仿宋_GB2312" w:eastAsia="仿宋_GB2312" w:hAnsi="微软雅黑" w:cs="Times New Roman" w:hint="eastAsia"/>
          <w:color w:val="000000"/>
          <w:sz w:val="32"/>
          <w:szCs w:val="32"/>
          <w:shd w:val="clear" w:color="auto" w:fill="FFFFFF"/>
        </w:rPr>
        <w:t>一审案件18</w:t>
      </w:r>
      <w:r>
        <w:rPr>
          <w:rFonts w:ascii="仿宋_GB2312" w:eastAsia="仿宋_GB2312" w:hAnsi="微软雅黑" w:cs="Times New Roman"/>
          <w:color w:val="000000"/>
          <w:sz w:val="32"/>
          <w:szCs w:val="32"/>
          <w:shd w:val="clear" w:color="auto" w:fill="FFFFFF"/>
        </w:rPr>
        <w:t>,</w:t>
      </w:r>
      <w:r>
        <w:rPr>
          <w:rFonts w:ascii="仿宋_GB2312" w:eastAsia="仿宋_GB2312" w:hAnsi="微软雅黑" w:cs="Times New Roman" w:hint="eastAsia"/>
          <w:color w:val="000000"/>
          <w:sz w:val="32"/>
          <w:szCs w:val="32"/>
          <w:shd w:val="clear" w:color="auto" w:fill="FFFFFF"/>
        </w:rPr>
        <w:t>526件（不含民特、民撤案件），二审案件7</w:t>
      </w:r>
      <w:r>
        <w:rPr>
          <w:rFonts w:ascii="仿宋_GB2312" w:eastAsia="仿宋_GB2312" w:hAnsi="微软雅黑" w:cs="Times New Roman"/>
          <w:color w:val="000000"/>
          <w:sz w:val="32"/>
          <w:szCs w:val="32"/>
          <w:shd w:val="clear" w:color="auto" w:fill="FFFFFF"/>
        </w:rPr>
        <w:t>,</w:t>
      </w:r>
      <w:r>
        <w:rPr>
          <w:rFonts w:ascii="仿宋_GB2312" w:eastAsia="仿宋_GB2312" w:hAnsi="微软雅黑" w:cs="Times New Roman" w:hint="eastAsia"/>
          <w:color w:val="000000"/>
          <w:sz w:val="32"/>
          <w:szCs w:val="32"/>
          <w:shd w:val="clear" w:color="auto" w:fill="FFFFFF"/>
        </w:rPr>
        <w:t>497件，首次执行案件5,179件</w:t>
      </w:r>
      <w:r>
        <w:rPr>
          <w:rFonts w:ascii="仿宋_GB2312" w:eastAsia="仿宋_GB2312" w:hAnsi="微软雅黑" w:cs="Times New Roman" w:hint="eastAsia"/>
          <w:sz w:val="32"/>
          <w:szCs w:val="32"/>
          <w:shd w:val="clear" w:color="auto" w:fill="FFFFFF"/>
        </w:rPr>
        <w:t>。其中，</w:t>
      </w:r>
      <w:r>
        <w:rPr>
          <w:rFonts w:ascii="仿宋_GB2312" w:eastAsia="仿宋_GB2312" w:hAnsi="微软雅黑" w:cs="Times New Roman" w:hint="eastAsia"/>
          <w:bCs/>
          <w:color w:val="000000"/>
          <w:sz w:val="32"/>
          <w:szCs w:val="32"/>
          <w:shd w:val="clear" w:color="auto" w:fill="FFFFFF"/>
        </w:rPr>
        <w:t>2018-2019年度结案4</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003件，2019-2020年度结案7</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025件，2020-2021年度结案8</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576件，2021-2022年度结案8</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880件</w:t>
      </w:r>
      <w:r>
        <w:rPr>
          <w:rFonts w:ascii="仿宋_GB2312" w:eastAsia="仿宋_GB2312" w:hAnsi="微软雅黑" w:cs="Times New Roman" w:hint="eastAsia"/>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2022-2023年度结案8</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756件</w:t>
      </w:r>
      <w:r>
        <w:rPr>
          <w:rFonts w:ascii="仿宋_GB2312" w:eastAsia="仿宋_GB2312" w:hAnsi="微软雅黑" w:cs="Times New Roman" w:hint="eastAsia"/>
          <w:color w:val="000000"/>
          <w:sz w:val="32"/>
          <w:szCs w:val="32"/>
          <w:shd w:val="clear" w:color="auto" w:fill="FFFFFF"/>
        </w:rPr>
        <w:t>。</w:t>
      </w:r>
    </w:p>
    <w:p w:rsidR="00362058" w:rsidRDefault="004421A7">
      <w:pPr>
        <w:rPr>
          <w:rFonts w:ascii="Calibri" w:eastAsia="宋体" w:hAnsi="Calibri" w:cs="Times New Roman"/>
        </w:rPr>
      </w:pPr>
      <w:r>
        <w:rPr>
          <w:rFonts w:ascii="仿宋_GB2312" w:eastAsia="仿宋_GB2312" w:hAnsi="微软雅黑" w:cs="Times New Roman" w:hint="eastAsia"/>
          <w:sz w:val="32"/>
          <w:szCs w:val="32"/>
          <w:shd w:val="clear" w:color="auto" w:fill="FFFFFF"/>
        </w:rPr>
        <w:t xml:space="preserve">  </w:t>
      </w:r>
      <w:r>
        <w:rPr>
          <w:rFonts w:ascii="仿宋_GB2312" w:eastAsia="仿宋_GB2312" w:hAnsi="微软雅黑" w:cs="Times New Roman" w:hint="eastAsia"/>
          <w:noProof/>
          <w:sz w:val="32"/>
          <w:szCs w:val="32"/>
          <w:shd w:val="clear" w:color="auto" w:fill="FFFFFF"/>
        </w:rPr>
        <w:drawing>
          <wp:inline distT="0" distB="0" distL="114300" distR="114300">
            <wp:extent cx="5571490" cy="3196590"/>
            <wp:effectExtent l="4445" t="4445" r="5715"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2058" w:rsidRDefault="004421A7">
      <w:pPr>
        <w:spacing w:line="360" w:lineRule="auto"/>
        <w:ind w:leftChars="-150" w:left="-315"/>
        <w:rPr>
          <w:rFonts w:ascii="仿宋_GB2312" w:eastAsia="仿宋_GB2312" w:hAnsi="微软雅黑" w:cs="Times New Roman"/>
          <w:sz w:val="32"/>
          <w:szCs w:val="32"/>
          <w:shd w:val="clear" w:color="auto" w:fill="FFFFFF"/>
        </w:rPr>
      </w:pPr>
      <w:r>
        <w:rPr>
          <w:rFonts w:hint="eastAsia"/>
          <w:noProof/>
        </w:rPr>
        <w:lastRenderedPageBreak/>
        <w:drawing>
          <wp:inline distT="0" distB="0" distL="114300" distR="114300">
            <wp:extent cx="5454650" cy="3797935"/>
            <wp:effectExtent l="4445" t="4445" r="8255" b="76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2058" w:rsidRDefault="00362058"/>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bCs/>
          <w:color w:val="000000"/>
          <w:sz w:val="32"/>
          <w:szCs w:val="32"/>
          <w:shd w:val="clear" w:color="auto" w:fill="FFFFFF"/>
        </w:rPr>
        <w:t>上海金融法院收案总标的额为</w:t>
      </w:r>
      <w:r w:rsidRPr="005D4C9C">
        <w:rPr>
          <w:rFonts w:ascii="仿宋_GB2312" w:eastAsia="仿宋_GB2312" w:hAnsi="微软雅黑" w:cs="Times New Roman" w:hint="eastAsia"/>
          <w:bCs/>
          <w:color w:val="000000"/>
          <w:sz w:val="32"/>
          <w:szCs w:val="32"/>
          <w:shd w:val="clear" w:color="auto" w:fill="FFFFFF"/>
        </w:rPr>
        <w:t>1</w:t>
      </w:r>
      <w:r w:rsidRPr="005D4C9C">
        <w:rPr>
          <w:rFonts w:ascii="仿宋_GB2312" w:eastAsia="仿宋_GB2312" w:hAnsi="微软雅黑" w:cs="Times New Roman"/>
          <w:bCs/>
          <w:color w:val="000000"/>
          <w:sz w:val="32"/>
          <w:szCs w:val="32"/>
          <w:shd w:val="clear" w:color="auto" w:fill="FFFFFF"/>
        </w:rPr>
        <w:t>1</w:t>
      </w:r>
      <w:r w:rsidRPr="005D4C9C">
        <w:rPr>
          <w:rFonts w:ascii="仿宋_GB2312" w:eastAsia="仿宋_GB2312" w:hAnsi="微软雅黑" w:cs="Times New Roman" w:hint="eastAsia"/>
          <w:bCs/>
          <w:color w:val="000000"/>
          <w:sz w:val="32"/>
          <w:szCs w:val="32"/>
          <w:shd w:val="clear" w:color="auto" w:fill="FFFFFF"/>
        </w:rPr>
        <w:t>,</w:t>
      </w:r>
      <w:r w:rsidRPr="005D4C9C">
        <w:rPr>
          <w:rFonts w:ascii="仿宋_GB2312" w:eastAsia="仿宋_GB2312" w:hAnsi="微软雅黑" w:cs="Times New Roman"/>
          <w:bCs/>
          <w:color w:val="000000"/>
          <w:sz w:val="32"/>
          <w:szCs w:val="32"/>
          <w:shd w:val="clear" w:color="auto" w:fill="FFFFFF"/>
        </w:rPr>
        <w:t>112</w:t>
      </w:r>
      <w:r w:rsidRPr="005D4C9C">
        <w:rPr>
          <w:rFonts w:ascii="仿宋_GB2312" w:eastAsia="仿宋_GB2312" w:hAnsi="微软雅黑" w:cs="Times New Roman" w:hint="eastAsia"/>
          <w:bCs/>
          <w:color w:val="000000"/>
          <w:sz w:val="32"/>
          <w:szCs w:val="32"/>
          <w:shd w:val="clear" w:color="auto" w:fill="FFFFFF"/>
        </w:rPr>
        <w:t>.2</w:t>
      </w:r>
      <w:r w:rsidRPr="005D4C9C">
        <w:rPr>
          <w:rFonts w:ascii="仿宋_GB2312" w:eastAsia="仿宋_GB2312" w:hAnsi="微软雅黑" w:cs="Times New Roman"/>
          <w:bCs/>
          <w:color w:val="000000"/>
          <w:sz w:val="32"/>
          <w:szCs w:val="32"/>
          <w:shd w:val="clear" w:color="auto" w:fill="FFFFFF"/>
        </w:rPr>
        <w:t>7</w:t>
      </w:r>
      <w:r>
        <w:rPr>
          <w:rFonts w:ascii="仿宋_GB2312" w:eastAsia="仿宋_GB2312" w:hAnsi="微软雅黑" w:cs="Times New Roman" w:hint="eastAsia"/>
          <w:bCs/>
          <w:color w:val="000000"/>
          <w:sz w:val="32"/>
          <w:szCs w:val="32"/>
          <w:shd w:val="clear" w:color="auto" w:fill="FFFFFF"/>
        </w:rPr>
        <w:t>亿元，</w:t>
      </w:r>
      <w:r>
        <w:rPr>
          <w:rStyle w:val="a7"/>
          <w:rFonts w:ascii="仿宋_GB2312" w:eastAsia="仿宋_GB2312" w:hAnsi="微软雅黑" w:cs="Times New Roman"/>
          <w:bCs/>
          <w:color w:val="000000"/>
          <w:sz w:val="32"/>
          <w:szCs w:val="32"/>
          <w:shd w:val="clear" w:color="auto" w:fill="FFFFFF"/>
        </w:rPr>
        <w:footnoteReference w:id="5"/>
      </w:r>
      <w:r>
        <w:rPr>
          <w:rFonts w:ascii="仿宋_GB2312" w:eastAsia="仿宋_GB2312" w:hAnsi="微软雅黑" w:cs="Times New Roman" w:hint="eastAsia"/>
          <w:sz w:val="32"/>
          <w:szCs w:val="32"/>
          <w:shd w:val="clear" w:color="auto" w:fill="FFFFFF"/>
        </w:rPr>
        <w:t>其中，</w:t>
      </w:r>
      <w:r>
        <w:rPr>
          <w:rFonts w:ascii="仿宋_GB2312" w:eastAsia="仿宋_GB2312" w:hAnsi="微软雅黑" w:cs="Times New Roman" w:hint="eastAsia"/>
          <w:bCs/>
          <w:color w:val="000000"/>
          <w:sz w:val="32"/>
          <w:szCs w:val="32"/>
          <w:shd w:val="clear" w:color="auto" w:fill="FFFFFF"/>
        </w:rPr>
        <w:t>2018-2019年度为1,154.39亿元，2019-2020年度为1,995.51亿元，2020-2021年度为2,249.14亿元，2021-2022年度为2,193.58亿元</w:t>
      </w:r>
      <w:r>
        <w:rPr>
          <w:rFonts w:ascii="仿宋_GB2312" w:eastAsia="仿宋_GB2312" w:hAnsi="微软雅黑" w:cs="Times New Roman" w:hint="eastAsia"/>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2022-2023年度为2,682.20亿元</w:t>
      </w:r>
      <w:r>
        <w:rPr>
          <w:rFonts w:ascii="仿宋_GB2312" w:eastAsia="仿宋_GB2312" w:hAnsi="微软雅黑" w:cs="Times New Roman" w:hint="eastAsia"/>
          <w:color w:val="000000"/>
          <w:sz w:val="32"/>
          <w:szCs w:val="32"/>
          <w:shd w:val="clear" w:color="auto" w:fill="FFFFFF"/>
        </w:rPr>
        <w:t>。</w:t>
      </w:r>
    </w:p>
    <w:p w:rsidR="00362058" w:rsidRDefault="00362058">
      <w:pPr>
        <w:spacing w:line="360" w:lineRule="auto"/>
        <w:ind w:firstLine="645"/>
        <w:rPr>
          <w:rFonts w:ascii="仿宋_GB2312" w:eastAsia="仿宋_GB2312" w:hAnsi="微软雅黑" w:cs="Times New Roman"/>
          <w:color w:val="000000"/>
          <w:sz w:val="32"/>
          <w:szCs w:val="32"/>
          <w:shd w:val="clear" w:color="auto" w:fill="FFFFFF"/>
        </w:rPr>
      </w:pPr>
    </w:p>
    <w:p w:rsidR="00362058" w:rsidRDefault="004421A7">
      <w:r>
        <w:rPr>
          <w:rFonts w:hint="eastAsia"/>
          <w:noProof/>
        </w:rPr>
        <w:lastRenderedPageBreak/>
        <w:drawing>
          <wp:inline distT="0" distB="0" distL="114300" distR="114300">
            <wp:extent cx="5473700" cy="3619500"/>
            <wp:effectExtent l="4445" t="4445" r="82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2058" w:rsidRDefault="00362058">
      <w:pPr>
        <w:spacing w:line="360" w:lineRule="auto"/>
        <w:ind w:firstLine="645"/>
        <w:rPr>
          <w:rFonts w:ascii="仿宋_GB2312" w:eastAsia="仿宋_GB2312" w:hAnsi="微软雅黑" w:cs="Times New Roman"/>
          <w:bCs/>
          <w:color w:val="000000"/>
          <w:sz w:val="32"/>
          <w:szCs w:val="32"/>
          <w:shd w:val="clear" w:color="auto" w:fill="FFFFFF"/>
        </w:rPr>
      </w:pPr>
    </w:p>
    <w:p w:rsidR="00362058" w:rsidRDefault="004421A7" w:rsidP="00322682">
      <w:pPr>
        <w:spacing w:line="600" w:lineRule="exact"/>
        <w:ind w:firstLineChars="200" w:firstLine="640"/>
        <w:rPr>
          <w:rFonts w:ascii="仿宋_GB2312" w:eastAsia="仿宋_GB2312" w:hAnsi="微软雅黑" w:cs="Times New Roman"/>
          <w:color w:val="000000"/>
          <w:sz w:val="32"/>
          <w:szCs w:val="32"/>
          <w:highlight w:val="yellow"/>
          <w:shd w:val="clear" w:color="auto" w:fill="FFFFFF"/>
        </w:rPr>
      </w:pPr>
      <w:r>
        <w:rPr>
          <w:rFonts w:ascii="仿宋_GB2312" w:eastAsia="仿宋_GB2312" w:hAnsi="微软雅黑" w:cs="Times New Roman" w:hint="eastAsia"/>
          <w:bCs/>
          <w:color w:val="000000"/>
          <w:sz w:val="32"/>
          <w:szCs w:val="32"/>
          <w:shd w:val="clear" w:color="auto" w:fill="FFFFFF"/>
        </w:rPr>
        <w:t>上海金融法院共</w:t>
      </w:r>
      <w:r>
        <w:rPr>
          <w:rFonts w:ascii="仿宋_GB2312" w:eastAsia="仿宋_GB2312" w:hAnsi="微软雅黑" w:cs="Times New Roman" w:hint="eastAsia"/>
          <w:bCs/>
          <w:sz w:val="32"/>
          <w:szCs w:val="32"/>
          <w:shd w:val="clear" w:color="auto" w:fill="FFFFFF"/>
        </w:rPr>
        <w:t>受理涉外、涉港澳台案件416</w:t>
      </w:r>
      <w:r>
        <w:rPr>
          <w:rFonts w:ascii="仿宋_GB2312" w:eastAsia="仿宋_GB2312" w:hAnsi="微软雅黑" w:cs="Times New Roman"/>
          <w:bCs/>
          <w:color w:val="000000"/>
          <w:sz w:val="32"/>
          <w:szCs w:val="32"/>
          <w:shd w:val="clear" w:color="auto" w:fill="FFFFFF"/>
        </w:rPr>
        <w:t>件</w:t>
      </w:r>
      <w:r>
        <w:rPr>
          <w:rFonts w:ascii="仿宋_GB2312" w:eastAsia="仿宋_GB2312" w:hAnsi="微软雅黑" w:cs="Times New Roman" w:hint="eastAsia"/>
          <w:bCs/>
          <w:color w:val="000000"/>
          <w:sz w:val="32"/>
          <w:szCs w:val="32"/>
          <w:shd w:val="clear" w:color="auto" w:fill="FFFFFF"/>
        </w:rPr>
        <w:t>，包括涉外案件193件（含执行案件31件，其中包含1件</w:t>
      </w:r>
      <w:r w:rsidRPr="005D4C9C">
        <w:rPr>
          <w:rFonts w:ascii="仿宋_GB2312" w:eastAsia="仿宋_GB2312" w:hAnsi="微软雅黑" w:cs="Times New Roman" w:hint="eastAsia"/>
          <w:bCs/>
          <w:color w:val="000000"/>
          <w:sz w:val="32"/>
          <w:szCs w:val="32"/>
          <w:shd w:val="clear" w:color="auto" w:fill="FFFFFF"/>
        </w:rPr>
        <w:t>行政非诉执行</w:t>
      </w:r>
      <w:r>
        <w:rPr>
          <w:rFonts w:ascii="仿宋_GB2312" w:eastAsia="仿宋_GB2312" w:hAnsi="微软雅黑" w:cs="Times New Roman" w:hint="eastAsia"/>
          <w:bCs/>
          <w:color w:val="000000"/>
          <w:sz w:val="32"/>
          <w:szCs w:val="32"/>
          <w:shd w:val="clear" w:color="auto" w:fill="FFFFFF"/>
        </w:rPr>
        <w:t>案件，23件同时涉港，1件同时涉台），涉港案件195件（含执行案件38件，23件同时涉外，1件同时涉澳，1件同时涉台），涉澳案件14件（含执行案件7件，1件同时涉港），涉台案件40件（含执行案件6件，1件同时涉外，1件同时涉港）。</w:t>
      </w:r>
      <w:r>
        <w:rPr>
          <w:rFonts w:ascii="仿宋_GB2312" w:eastAsia="仿宋_GB2312" w:hAnsi="微软雅黑" w:cs="Times New Roman" w:hint="eastAsia"/>
          <w:color w:val="000000"/>
          <w:sz w:val="32"/>
          <w:szCs w:val="32"/>
          <w:shd w:val="clear" w:color="auto" w:fill="FFFFFF"/>
        </w:rPr>
        <w:t>其中，</w:t>
      </w:r>
      <w:r>
        <w:rPr>
          <w:rFonts w:ascii="仿宋_GB2312" w:eastAsia="仿宋_GB2312" w:hAnsi="微软雅黑" w:cs="Times New Roman" w:hint="eastAsia"/>
          <w:bCs/>
          <w:color w:val="000000"/>
          <w:sz w:val="32"/>
          <w:szCs w:val="32"/>
          <w:shd w:val="clear" w:color="auto" w:fill="FFFFFF"/>
        </w:rPr>
        <w:t>2018-2019年度受理85件，2019-2020年度受理99件，2020-2021年度受理70件，2021-2022年度受理74件，2022年-2023年度受理87件。</w:t>
      </w:r>
    </w:p>
    <w:p w:rsidR="00362058" w:rsidRDefault="004421A7" w:rsidP="00322682">
      <w:pPr>
        <w:spacing w:line="600" w:lineRule="exact"/>
        <w:ind w:firstLineChars="200" w:firstLine="640"/>
        <w:rPr>
          <w:rFonts w:ascii="仿宋_GB2312" w:eastAsia="仿宋_GB2312" w:hAnsi="微软雅黑" w:cs="Times New Roman"/>
          <w:sz w:val="32"/>
          <w:szCs w:val="32"/>
          <w:highlight w:val="yellow"/>
          <w:shd w:val="clear" w:color="auto" w:fill="FFFFFF"/>
        </w:rPr>
      </w:pPr>
      <w:r>
        <w:rPr>
          <w:rFonts w:ascii="仿宋_GB2312" w:eastAsia="仿宋_GB2312" w:hAnsi="微软雅黑" w:cs="Times New Roman" w:hint="eastAsia"/>
          <w:bCs/>
          <w:color w:val="000000"/>
          <w:sz w:val="32"/>
          <w:szCs w:val="32"/>
          <w:shd w:val="clear" w:color="auto" w:fill="FFFFFF"/>
        </w:rPr>
        <w:t>上海金融法院共审结</w:t>
      </w:r>
      <w:r>
        <w:rPr>
          <w:rFonts w:ascii="仿宋_GB2312" w:eastAsia="仿宋_GB2312" w:hAnsi="微软雅黑" w:cs="Times New Roman" w:hint="eastAsia"/>
          <w:bCs/>
          <w:sz w:val="32"/>
          <w:szCs w:val="32"/>
          <w:shd w:val="clear" w:color="auto" w:fill="FFFFFF"/>
        </w:rPr>
        <w:t>涉外、涉港澳台案件379件，包括涉外案</w:t>
      </w:r>
      <w:r>
        <w:rPr>
          <w:rFonts w:ascii="仿宋_GB2312" w:eastAsia="仿宋_GB2312" w:hAnsi="微软雅黑" w:cs="Times New Roman" w:hint="eastAsia"/>
          <w:bCs/>
          <w:sz w:val="32"/>
          <w:szCs w:val="32"/>
          <w:shd w:val="clear" w:color="auto" w:fill="FFFFFF"/>
        </w:rPr>
        <w:lastRenderedPageBreak/>
        <w:t>件176件（含执行案件23件，其中包含1件</w:t>
      </w:r>
      <w:r w:rsidRPr="005D4C9C">
        <w:rPr>
          <w:rFonts w:ascii="仿宋_GB2312" w:eastAsia="仿宋_GB2312" w:hAnsi="微软雅黑" w:cs="Times New Roman" w:hint="eastAsia"/>
          <w:bCs/>
          <w:sz w:val="32"/>
          <w:szCs w:val="32"/>
          <w:shd w:val="clear" w:color="auto" w:fill="FFFFFF"/>
        </w:rPr>
        <w:t>行政非诉执行</w:t>
      </w:r>
      <w:r>
        <w:rPr>
          <w:rFonts w:ascii="仿宋_GB2312" w:eastAsia="仿宋_GB2312" w:hAnsi="微软雅黑" w:cs="Times New Roman" w:hint="eastAsia"/>
          <w:bCs/>
          <w:sz w:val="32"/>
          <w:szCs w:val="32"/>
          <w:shd w:val="clear" w:color="auto" w:fill="FFFFFF"/>
        </w:rPr>
        <w:t>案件，22件同时涉港，1件同时涉台），涉港案件176件（含执行案件31件，22件同时涉外，1件同时涉澳，1件同时涉台），涉澳案件14件（含执行案件7件，1件同时涉港），涉台案件38件（含执行案件</w:t>
      </w:r>
      <w:r>
        <w:rPr>
          <w:rFonts w:ascii="仿宋_GB2312" w:eastAsia="仿宋_GB2312" w:hAnsi="微软雅黑" w:cs="Times New Roman"/>
          <w:bCs/>
          <w:sz w:val="32"/>
          <w:szCs w:val="32"/>
          <w:shd w:val="clear" w:color="auto" w:fill="FFFFFF"/>
        </w:rPr>
        <w:t>4件</w:t>
      </w:r>
      <w:r>
        <w:rPr>
          <w:rFonts w:ascii="仿宋_GB2312" w:eastAsia="仿宋_GB2312" w:hAnsi="微软雅黑" w:cs="Times New Roman" w:hint="eastAsia"/>
          <w:bCs/>
          <w:sz w:val="32"/>
          <w:szCs w:val="32"/>
          <w:shd w:val="clear" w:color="auto" w:fill="FFFFFF"/>
        </w:rPr>
        <w:t>，1件同时涉外，1件同时涉港）。</w:t>
      </w:r>
      <w:r>
        <w:rPr>
          <w:rFonts w:ascii="仿宋_GB2312" w:eastAsia="仿宋_GB2312" w:hAnsi="微软雅黑" w:cs="Times New Roman" w:hint="eastAsia"/>
          <w:sz w:val="32"/>
          <w:szCs w:val="32"/>
          <w:shd w:val="clear" w:color="auto" w:fill="FFFFFF"/>
        </w:rPr>
        <w:t>其中，</w:t>
      </w:r>
      <w:r>
        <w:rPr>
          <w:rFonts w:ascii="仿宋_GB2312" w:eastAsia="仿宋_GB2312" w:hAnsi="微软雅黑" w:cs="Times New Roman" w:hint="eastAsia"/>
          <w:bCs/>
          <w:color w:val="000000"/>
          <w:sz w:val="32"/>
          <w:szCs w:val="32"/>
          <w:shd w:val="clear" w:color="auto" w:fill="FFFFFF"/>
        </w:rPr>
        <w:t>2018-2019年度结案44件，2019-2020年度结案72件，2020-2021年度结案76件，2021-2022年度结案90件，2022-2023年度结案97件。</w:t>
      </w:r>
    </w:p>
    <w:p w:rsidR="00362058" w:rsidRDefault="004421A7">
      <w:pPr>
        <w:spacing w:line="360" w:lineRule="auto"/>
        <w:rPr>
          <w:rFonts w:ascii="仿宋_GB2312" w:eastAsia="仿宋_GB2312" w:hAnsi="微软雅黑" w:cs="Times New Roman"/>
          <w:sz w:val="32"/>
          <w:szCs w:val="32"/>
          <w:shd w:val="clear" w:color="auto" w:fill="FFFFFF"/>
        </w:rPr>
      </w:pPr>
      <w:r>
        <w:rPr>
          <w:rFonts w:ascii="仿宋_GB2312" w:eastAsia="仿宋_GB2312" w:hAnsi="微软雅黑" w:cs="Times New Roman" w:hint="eastAsia"/>
          <w:noProof/>
          <w:sz w:val="32"/>
          <w:szCs w:val="32"/>
          <w:shd w:val="clear" w:color="auto" w:fill="FFFFFF"/>
        </w:rPr>
        <w:drawing>
          <wp:inline distT="0" distB="0" distL="114300" distR="114300">
            <wp:extent cx="5658485" cy="3895090"/>
            <wp:effectExtent l="4445" t="4445" r="13970"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2058" w:rsidRPr="00322682" w:rsidRDefault="004421A7" w:rsidP="00322682">
      <w:pPr>
        <w:spacing w:line="600" w:lineRule="exact"/>
        <w:ind w:firstLineChars="200" w:firstLine="640"/>
        <w:jc w:val="left"/>
        <w:rPr>
          <w:rFonts w:ascii="仿宋_GB2312" w:eastAsia="仿宋_GB2312" w:hAnsi="仿宋" w:cs="宋体"/>
          <w:sz w:val="32"/>
          <w:szCs w:val="32"/>
        </w:rPr>
      </w:pPr>
      <w:r w:rsidRPr="00322682">
        <w:rPr>
          <w:rFonts w:ascii="仿宋_GB2312" w:eastAsia="仿宋_GB2312" w:hAnsi="仿宋" w:cs="宋体" w:hint="eastAsia"/>
          <w:sz w:val="32"/>
          <w:szCs w:val="32"/>
        </w:rPr>
        <w:t>上海金融法院受理首次执行案件5,447件，申请执行标的金额</w:t>
      </w:r>
      <w:r w:rsidRPr="00322682">
        <w:rPr>
          <w:rFonts w:ascii="仿宋_GB2312" w:eastAsia="仿宋_GB2312" w:hAnsi="仿宋" w:cs="宋体" w:hint="eastAsia"/>
          <w:sz w:val="32"/>
          <w:szCs w:val="32"/>
        </w:rPr>
        <w:lastRenderedPageBreak/>
        <w:t>3,558.12亿元。其中，</w:t>
      </w:r>
      <w:bookmarkStart w:id="1" w:name="_Hlk137912276"/>
      <w:r w:rsidRPr="00322682">
        <w:rPr>
          <w:rFonts w:ascii="仿宋_GB2312" w:eastAsia="仿宋_GB2312" w:hAnsi="仿宋" w:cs="宋体" w:hint="eastAsia"/>
          <w:sz w:val="32"/>
          <w:szCs w:val="32"/>
        </w:rPr>
        <w:t>2018-2019年度受理</w:t>
      </w:r>
      <w:bookmarkEnd w:id="1"/>
      <w:r w:rsidRPr="00322682">
        <w:rPr>
          <w:rFonts w:ascii="仿宋_GB2312" w:eastAsia="仿宋_GB2312" w:hAnsi="仿宋" w:cs="宋体" w:hint="eastAsia"/>
          <w:sz w:val="32"/>
          <w:szCs w:val="32"/>
        </w:rPr>
        <w:t>337件，2019-2020年度受理778件，2020-2021年度受理697件，2021-2022年度受理1,414件，2022-2023年度受理2,221件。</w:t>
      </w:r>
    </w:p>
    <w:p w:rsidR="00362058" w:rsidRDefault="004421A7">
      <w:pPr>
        <w:spacing w:line="360" w:lineRule="auto"/>
        <w:jc w:val="center"/>
        <w:rPr>
          <w:rFonts w:ascii="仿宋" w:eastAsia="仿宋" w:hAnsi="仿宋" w:cs="宋体"/>
          <w:sz w:val="32"/>
          <w:szCs w:val="32"/>
          <w:lang w:val="zh-CN"/>
        </w:rPr>
      </w:pPr>
      <w:r>
        <w:rPr>
          <w:rFonts w:ascii="仿宋" w:eastAsia="仿宋" w:hAnsi="仿宋" w:cs="宋体" w:hint="eastAsia"/>
          <w:noProof/>
          <w:sz w:val="32"/>
          <w:szCs w:val="32"/>
        </w:rPr>
        <w:drawing>
          <wp:inline distT="0" distB="0" distL="0" distR="0">
            <wp:extent cx="5654040" cy="3711575"/>
            <wp:effectExtent l="4445" t="4445" r="18415" b="17780"/>
            <wp:docPr id="14786203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2058" w:rsidRDefault="00362058">
      <w:pPr>
        <w:spacing w:line="360" w:lineRule="auto"/>
        <w:ind w:firstLineChars="200" w:firstLine="640"/>
        <w:jc w:val="left"/>
        <w:rPr>
          <w:rFonts w:ascii="仿宋_GB2312" w:eastAsia="仿宋_GB2312" w:hAnsi="微软雅黑" w:cs="Times New Roman"/>
          <w:bCs/>
          <w:sz w:val="32"/>
          <w:szCs w:val="32"/>
          <w:shd w:val="clear" w:color="auto" w:fill="FFFFFF"/>
        </w:rPr>
      </w:pPr>
    </w:p>
    <w:p w:rsidR="00362058" w:rsidRDefault="004421A7" w:rsidP="00322682">
      <w:pPr>
        <w:spacing w:line="360" w:lineRule="auto"/>
        <w:ind w:firstLineChars="200" w:firstLine="640"/>
        <w:jc w:val="left"/>
        <w:rPr>
          <w:rFonts w:ascii="仿宋" w:eastAsia="仿宋" w:hAnsi="仿宋" w:cs="宋体"/>
          <w:sz w:val="32"/>
          <w:szCs w:val="32"/>
        </w:rPr>
      </w:pPr>
      <w:r>
        <w:rPr>
          <w:rFonts w:ascii="仿宋_GB2312" w:eastAsia="仿宋_GB2312" w:hAnsi="微软雅黑" w:cs="Times New Roman"/>
          <w:bCs/>
          <w:sz w:val="32"/>
          <w:szCs w:val="32"/>
          <w:shd w:val="clear" w:color="auto" w:fill="FFFFFF"/>
        </w:rPr>
        <w:t>首次执行案件结案5</w:t>
      </w:r>
      <w:r>
        <w:rPr>
          <w:rFonts w:ascii="仿宋_GB2312" w:eastAsia="仿宋_GB2312" w:hAnsi="微软雅黑" w:cs="Times New Roman" w:hint="eastAsia"/>
          <w:bCs/>
          <w:sz w:val="32"/>
          <w:szCs w:val="32"/>
          <w:shd w:val="clear" w:color="auto" w:fill="FFFFFF"/>
        </w:rPr>
        <w:t>,</w:t>
      </w:r>
      <w:r>
        <w:rPr>
          <w:rFonts w:ascii="仿宋_GB2312" w:eastAsia="仿宋_GB2312" w:hAnsi="微软雅黑" w:cs="Times New Roman"/>
          <w:bCs/>
          <w:sz w:val="32"/>
          <w:szCs w:val="32"/>
          <w:shd w:val="clear" w:color="auto" w:fill="FFFFFF"/>
        </w:rPr>
        <w:t>179件，共执行到位697.78亿元。</w:t>
      </w:r>
      <w:r>
        <w:rPr>
          <w:rFonts w:ascii="仿宋_GB2312" w:eastAsia="仿宋_GB2312" w:hAnsi="微软雅黑" w:cs="Times New Roman" w:hint="eastAsia"/>
          <w:bCs/>
          <w:color w:val="000000"/>
          <w:sz w:val="32"/>
          <w:szCs w:val="32"/>
          <w:shd w:val="clear" w:color="auto" w:fill="FFFFFF"/>
          <w:vertAlign w:val="superscript"/>
        </w:rPr>
        <w:footnoteReference w:id="6"/>
      </w:r>
      <w:r>
        <w:rPr>
          <w:rFonts w:ascii="仿宋_GB2312" w:eastAsia="仿宋_GB2312" w:hAnsi="微软雅黑" w:cs="Times New Roman"/>
          <w:bCs/>
          <w:sz w:val="32"/>
          <w:szCs w:val="32"/>
          <w:shd w:val="clear" w:color="auto" w:fill="FFFFFF"/>
        </w:rPr>
        <w:t>其中，2018-2019年度结案240件，2019-2020年度结案694件，2020-2021年度结案603件，2021-2022年度结案914件，2022-2023年度结</w:t>
      </w:r>
      <w:r>
        <w:rPr>
          <w:rFonts w:ascii="仿宋_GB2312" w:eastAsia="仿宋_GB2312" w:hAnsi="微软雅黑" w:cs="Times New Roman"/>
          <w:bCs/>
          <w:sz w:val="32"/>
          <w:szCs w:val="32"/>
          <w:shd w:val="clear" w:color="auto" w:fill="FFFFFF"/>
        </w:rPr>
        <w:lastRenderedPageBreak/>
        <w:t>案2</w:t>
      </w:r>
      <w:r>
        <w:rPr>
          <w:rFonts w:ascii="仿宋_GB2312" w:eastAsia="仿宋_GB2312" w:hAnsi="微软雅黑" w:cs="Times New Roman" w:hint="eastAsia"/>
          <w:bCs/>
          <w:sz w:val="32"/>
          <w:szCs w:val="32"/>
          <w:shd w:val="clear" w:color="auto" w:fill="FFFFFF"/>
        </w:rPr>
        <w:t>,</w:t>
      </w:r>
      <w:r>
        <w:rPr>
          <w:rFonts w:ascii="仿宋_GB2312" w:eastAsia="仿宋_GB2312" w:hAnsi="微软雅黑" w:cs="Times New Roman"/>
          <w:bCs/>
          <w:sz w:val="32"/>
          <w:szCs w:val="32"/>
          <w:shd w:val="clear" w:color="auto" w:fill="FFFFFF"/>
        </w:rPr>
        <w:t>7</w:t>
      </w:r>
      <w:r>
        <w:rPr>
          <w:rFonts w:ascii="仿宋_GB2312" w:eastAsia="仿宋_GB2312" w:hAnsi="微软雅黑" w:cs="Times New Roman" w:hint="eastAsia"/>
          <w:bCs/>
          <w:sz w:val="32"/>
          <w:szCs w:val="32"/>
          <w:shd w:val="clear" w:color="auto" w:fill="FFFFFF"/>
        </w:rPr>
        <w:t>2</w:t>
      </w:r>
      <w:r>
        <w:rPr>
          <w:rFonts w:ascii="仿宋_GB2312" w:eastAsia="仿宋_GB2312" w:hAnsi="微软雅黑" w:cs="Times New Roman"/>
          <w:bCs/>
          <w:sz w:val="32"/>
          <w:szCs w:val="32"/>
          <w:shd w:val="clear" w:color="auto" w:fill="FFFFFF"/>
        </w:rPr>
        <w:t>8件</w:t>
      </w:r>
      <w:r>
        <w:rPr>
          <w:rFonts w:ascii="仿宋_GB2312" w:eastAsia="仿宋_GB2312" w:hAnsi="微软雅黑" w:cs="Times New Roman" w:hint="eastAsia"/>
          <w:bCs/>
          <w:color w:val="000000"/>
          <w:sz w:val="32"/>
          <w:szCs w:val="32"/>
          <w:shd w:val="clear" w:color="auto" w:fill="FFFFFF"/>
          <w:vertAlign w:val="superscript"/>
        </w:rPr>
        <w:t>。</w:t>
      </w:r>
      <w:r>
        <w:rPr>
          <w:rFonts w:ascii="仿宋_GB2312" w:eastAsia="仿宋_GB2312" w:hAnsi="微软雅黑" w:cs="Times New Roman" w:hint="eastAsia"/>
          <w:bCs/>
          <w:noProof/>
          <w:color w:val="000000"/>
          <w:sz w:val="32"/>
          <w:szCs w:val="32"/>
          <w:shd w:val="clear" w:color="auto" w:fill="FFFFFF"/>
          <w:vertAlign w:val="superscript"/>
        </w:rPr>
        <w:drawing>
          <wp:inline distT="0" distB="0" distL="114300" distR="114300">
            <wp:extent cx="5470525" cy="3873500"/>
            <wp:effectExtent l="5080" t="4445" r="10795" b="82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2058" w:rsidRPr="00322682" w:rsidRDefault="004421A7" w:rsidP="00322D46">
      <w:pPr>
        <w:numPr>
          <w:ilvl w:val="255"/>
          <w:numId w:val="0"/>
        </w:numPr>
        <w:spacing w:line="360" w:lineRule="auto"/>
        <w:ind w:firstLineChars="250" w:firstLine="800"/>
        <w:rPr>
          <w:rFonts w:ascii="楷体_GB2312" w:eastAsia="楷体_GB2312" w:hAnsiTheme="minorEastAsia" w:cstheme="minorEastAsia"/>
          <w:b/>
          <w:sz w:val="32"/>
          <w:szCs w:val="32"/>
        </w:rPr>
      </w:pPr>
      <w:r w:rsidRPr="00322682">
        <w:rPr>
          <w:rFonts w:ascii="楷体_GB2312" w:eastAsia="楷体_GB2312" w:hAnsiTheme="minorEastAsia" w:cstheme="minorEastAsia" w:hint="eastAsia"/>
          <w:b/>
          <w:sz w:val="32"/>
          <w:szCs w:val="32"/>
        </w:rPr>
        <w:t>（二）案由类型</w:t>
      </w:r>
    </w:p>
    <w:p w:rsidR="00362058" w:rsidRDefault="004421A7">
      <w:pPr>
        <w:spacing w:line="360" w:lineRule="auto"/>
        <w:ind w:firstLineChars="200" w:firstLine="640"/>
        <w:rPr>
          <w:rFonts w:ascii="仿宋_GB2312" w:eastAsia="仿宋_GB2312" w:hAnsi="微软雅黑" w:cs="Times New Roman"/>
          <w:bCs/>
          <w:color w:val="000000"/>
          <w:sz w:val="32"/>
          <w:szCs w:val="32"/>
          <w:highlight w:val="yellow"/>
          <w:shd w:val="clear" w:color="auto" w:fill="FFFFFF"/>
        </w:rPr>
      </w:pPr>
      <w:r>
        <w:rPr>
          <w:rFonts w:ascii="仿宋_GB2312" w:eastAsia="仿宋_GB2312" w:hAnsi="微软雅黑" w:cs="Times New Roman" w:hint="eastAsia"/>
          <w:bCs/>
          <w:color w:val="000000"/>
          <w:sz w:val="32"/>
          <w:szCs w:val="32"/>
          <w:shd w:val="clear" w:color="auto" w:fill="FFFFFF"/>
        </w:rPr>
        <w:t>从案由来看，上海金融法院收案类型涉及金融各领域，收案排名前</w:t>
      </w:r>
      <w:r>
        <w:rPr>
          <w:rFonts w:ascii="仿宋_GB2312" w:eastAsia="仿宋_GB2312" w:hAnsi="微软雅黑" w:cs="Times New Roman"/>
          <w:bCs/>
          <w:color w:val="000000"/>
          <w:sz w:val="32"/>
          <w:szCs w:val="32"/>
          <w:shd w:val="clear" w:color="auto" w:fill="FFFFFF"/>
        </w:rPr>
        <w:t>五</w:t>
      </w:r>
      <w:r>
        <w:rPr>
          <w:rFonts w:ascii="仿宋_GB2312" w:eastAsia="仿宋_GB2312" w:hAnsi="微软雅黑" w:cs="Times New Roman" w:hint="eastAsia"/>
          <w:bCs/>
          <w:color w:val="000000"/>
          <w:sz w:val="32"/>
          <w:szCs w:val="32"/>
          <w:shd w:val="clear" w:color="auto" w:fill="FFFFFF"/>
        </w:rPr>
        <w:t>位的案由分别为</w:t>
      </w:r>
      <w:r>
        <w:rPr>
          <w:rStyle w:val="a7"/>
          <w:rFonts w:ascii="仿宋_GB2312" w:eastAsia="仿宋_GB2312" w:hAnsi="微软雅黑" w:cs="Times New Roman" w:hint="eastAsia"/>
          <w:bCs/>
          <w:color w:val="000000"/>
          <w:sz w:val="32"/>
          <w:szCs w:val="32"/>
          <w:shd w:val="clear" w:color="auto" w:fill="FFFFFF"/>
        </w:rPr>
        <w:footnoteReference w:id="7"/>
      </w:r>
      <w:r>
        <w:rPr>
          <w:rFonts w:ascii="仿宋_GB2312" w:eastAsia="仿宋_GB2312" w:hAnsi="微软雅黑" w:cs="Times New Roman" w:hint="eastAsia"/>
          <w:bCs/>
          <w:color w:val="000000"/>
          <w:sz w:val="32"/>
          <w:szCs w:val="32"/>
          <w:shd w:val="clear" w:color="auto" w:fill="FFFFFF"/>
        </w:rPr>
        <w:t>：证券虚假陈述责任纠纷16,435件，标的额67.15亿元；金融借款合同纠纷3,463件，标的额2,614.17亿元；融资租赁合同纠纷2,423件，标的额434.10亿元；票据追索权纠纷1,525件，标的额38.15亿元；其他合同纠纷896件，标的</w:t>
      </w:r>
      <w:r>
        <w:rPr>
          <w:rFonts w:ascii="仿宋_GB2312" w:eastAsia="仿宋_GB2312" w:hAnsi="微软雅黑" w:cs="Times New Roman" w:hint="eastAsia"/>
          <w:bCs/>
          <w:color w:val="000000"/>
          <w:sz w:val="32"/>
          <w:szCs w:val="32"/>
          <w:shd w:val="clear" w:color="auto" w:fill="FFFFFF"/>
        </w:rPr>
        <w:lastRenderedPageBreak/>
        <w:t>额1,237.43亿元。</w:t>
      </w:r>
    </w:p>
    <w:p w:rsidR="00362058" w:rsidRDefault="004421A7">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noProof/>
        </w:rPr>
        <w:drawing>
          <wp:inline distT="0" distB="0" distL="114300" distR="114300">
            <wp:extent cx="5364480" cy="5199380"/>
            <wp:effectExtent l="4445" t="4445" r="22225" b="1587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2058" w:rsidRDefault="00362058">
      <w:pPr>
        <w:spacing w:line="360" w:lineRule="auto"/>
        <w:ind w:firstLineChars="200" w:firstLine="640"/>
        <w:rPr>
          <w:rFonts w:ascii="仿宋_GB2312" w:eastAsia="仿宋_GB2312" w:hAnsi="微软雅黑" w:cs="Times New Roman"/>
          <w:bCs/>
          <w:color w:val="000000"/>
          <w:sz w:val="32"/>
          <w:szCs w:val="32"/>
          <w:highlight w:val="yellow"/>
          <w:shd w:val="clear" w:color="auto" w:fill="FFFFFF"/>
        </w:rPr>
      </w:pPr>
    </w:p>
    <w:p w:rsidR="00362058" w:rsidRDefault="004421A7">
      <w:r>
        <w:rPr>
          <w:rFonts w:hint="eastAsia"/>
          <w:noProof/>
        </w:rPr>
        <w:lastRenderedPageBreak/>
        <w:drawing>
          <wp:inline distT="0" distB="0" distL="114300" distR="114300">
            <wp:extent cx="5412105" cy="4174490"/>
            <wp:effectExtent l="5080" t="4445" r="12065" b="1206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62058" w:rsidRDefault="00362058">
      <w:pPr>
        <w:spacing w:line="360" w:lineRule="auto"/>
        <w:rPr>
          <w:rFonts w:ascii="仿宋_GB2312" w:eastAsia="仿宋_GB2312" w:hAnsi="微软雅黑" w:cs="Times New Roman"/>
          <w:color w:val="000000"/>
          <w:sz w:val="32"/>
          <w:szCs w:val="32"/>
          <w:shd w:val="clear" w:color="auto" w:fill="FFFFFF"/>
        </w:rPr>
      </w:pPr>
    </w:p>
    <w:p w:rsidR="00362058" w:rsidRDefault="00362058">
      <w:pPr>
        <w:spacing w:line="360" w:lineRule="auto"/>
        <w:ind w:firstLineChars="250" w:firstLine="803"/>
        <w:rPr>
          <w:rFonts w:asciiTheme="minorEastAsia" w:hAnsiTheme="minorEastAsia" w:cstheme="minorEastAsia"/>
          <w:b/>
          <w:sz w:val="32"/>
          <w:szCs w:val="32"/>
        </w:rPr>
      </w:pPr>
    </w:p>
    <w:p w:rsidR="00362058" w:rsidRPr="00322682" w:rsidRDefault="004421A7" w:rsidP="00322D46">
      <w:pPr>
        <w:numPr>
          <w:ilvl w:val="255"/>
          <w:numId w:val="0"/>
        </w:numPr>
        <w:spacing w:line="600" w:lineRule="exact"/>
        <w:ind w:firstLineChars="200" w:firstLine="640"/>
        <w:rPr>
          <w:rFonts w:ascii="楷体_GB2312" w:eastAsia="楷体_GB2312" w:hAnsiTheme="minorEastAsia" w:cstheme="minorEastAsia"/>
          <w:b/>
          <w:sz w:val="32"/>
          <w:szCs w:val="32"/>
        </w:rPr>
      </w:pPr>
      <w:r w:rsidRPr="00322682">
        <w:rPr>
          <w:rFonts w:ascii="楷体_GB2312" w:eastAsia="楷体_GB2312" w:hAnsiTheme="minorEastAsia" w:cstheme="minorEastAsia" w:hint="eastAsia"/>
          <w:b/>
          <w:sz w:val="32"/>
          <w:szCs w:val="32"/>
        </w:rPr>
        <w:t>（三）行业分布</w:t>
      </w:r>
    </w:p>
    <w:p w:rsidR="00362058" w:rsidRDefault="004421A7" w:rsidP="00322682">
      <w:pPr>
        <w:widowControl/>
        <w:spacing w:line="600" w:lineRule="exact"/>
        <w:ind w:firstLineChars="200" w:firstLine="640"/>
        <w:jc w:val="left"/>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color w:val="000000"/>
          <w:sz w:val="32"/>
          <w:szCs w:val="32"/>
          <w:shd w:val="clear" w:color="auto" w:fill="FFFFFF"/>
        </w:rPr>
        <w:t>上海金融法院受理的全部金融案件中</w:t>
      </w:r>
      <w:r>
        <w:rPr>
          <w:rFonts w:ascii="仿宋_GB2312" w:eastAsia="仿宋_GB2312" w:hAnsi="微软雅黑" w:cs="Times New Roman" w:hint="eastAsia"/>
          <w:color w:val="000000"/>
          <w:sz w:val="32"/>
          <w:szCs w:val="32"/>
          <w:shd w:val="clear" w:color="auto" w:fill="FFFFFF"/>
          <w:vertAlign w:val="superscript"/>
        </w:rPr>
        <w:footnoteReference w:id="8"/>
      </w:r>
      <w:r>
        <w:rPr>
          <w:rFonts w:ascii="仿宋_GB2312" w:eastAsia="仿宋_GB2312" w:hAnsi="微软雅黑" w:cs="Times New Roman" w:hint="eastAsia"/>
          <w:color w:val="000000"/>
          <w:sz w:val="32"/>
          <w:szCs w:val="32"/>
          <w:shd w:val="clear" w:color="auto" w:fill="FFFFFF"/>
        </w:rPr>
        <w:t>，证券业案件数量较多，为17,137件，银行业案件为8,091件，保险业案件为1,468件，其他金融行业案件为2,270件。</w:t>
      </w:r>
    </w:p>
    <w:p w:rsidR="00362058" w:rsidRDefault="004421A7">
      <w:pPr>
        <w:spacing w:line="360" w:lineRule="auto"/>
        <w:jc w:val="left"/>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noProof/>
          <w:color w:val="000000"/>
          <w:sz w:val="32"/>
          <w:szCs w:val="32"/>
          <w:shd w:val="clear" w:color="auto" w:fill="FFFFFF"/>
        </w:rPr>
        <w:lastRenderedPageBreak/>
        <w:drawing>
          <wp:inline distT="0" distB="0" distL="114300" distR="114300">
            <wp:extent cx="5441950" cy="4538980"/>
            <wp:effectExtent l="4445" t="4445" r="2095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2058" w:rsidRDefault="00362058">
      <w:pPr>
        <w:widowControl/>
        <w:spacing w:line="360" w:lineRule="auto"/>
        <w:ind w:firstLineChars="200" w:firstLine="640"/>
        <w:jc w:val="left"/>
        <w:rPr>
          <w:rFonts w:ascii="仿宋_GB2312" w:eastAsia="仿宋_GB2312" w:hAnsi="微软雅黑" w:cs="Times New Roman"/>
          <w:color w:val="000000"/>
          <w:sz w:val="32"/>
          <w:szCs w:val="32"/>
          <w:shd w:val="clear" w:color="auto" w:fill="FFFFFF"/>
        </w:rPr>
      </w:pPr>
    </w:p>
    <w:p w:rsidR="00362058" w:rsidRDefault="00362058">
      <w:pPr>
        <w:widowControl/>
        <w:spacing w:line="360" w:lineRule="auto"/>
        <w:ind w:firstLineChars="200" w:firstLine="640"/>
        <w:jc w:val="left"/>
        <w:rPr>
          <w:rFonts w:ascii="仿宋_GB2312" w:eastAsia="仿宋_GB2312" w:hAnsi="微软雅黑" w:cs="Times New Roman"/>
          <w:color w:val="000000"/>
          <w:sz w:val="32"/>
          <w:szCs w:val="32"/>
          <w:shd w:val="clear" w:color="auto" w:fill="FFFFFF"/>
        </w:rPr>
      </w:pPr>
    </w:p>
    <w:p w:rsidR="00362058" w:rsidRDefault="004421A7">
      <w:r>
        <w:rPr>
          <w:rFonts w:hint="eastAsia"/>
          <w:noProof/>
        </w:rPr>
        <w:lastRenderedPageBreak/>
        <w:drawing>
          <wp:inline distT="0" distB="0" distL="114300" distR="114300">
            <wp:extent cx="5425440" cy="3845560"/>
            <wp:effectExtent l="4445" t="4445" r="1841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2058" w:rsidRDefault="00362058">
      <w:pPr>
        <w:widowControl/>
        <w:spacing w:line="360" w:lineRule="auto"/>
        <w:ind w:firstLineChars="200" w:firstLine="640"/>
        <w:jc w:val="left"/>
        <w:rPr>
          <w:rFonts w:ascii="仿宋_GB2312" w:eastAsia="仿宋_GB2312" w:hAnsi="微软雅黑" w:cs="Times New Roman"/>
          <w:color w:val="000000"/>
          <w:sz w:val="32"/>
          <w:szCs w:val="32"/>
          <w:shd w:val="clear" w:color="auto" w:fill="FFFFFF"/>
        </w:rPr>
      </w:pPr>
    </w:p>
    <w:p w:rsidR="00362058" w:rsidRDefault="004421A7">
      <w:pPr>
        <w:widowControl/>
        <w:spacing w:line="360" w:lineRule="auto"/>
        <w:ind w:firstLineChars="200" w:firstLine="640"/>
        <w:jc w:val="left"/>
        <w:rPr>
          <w:rFonts w:ascii="仿宋_GB2312" w:eastAsia="仿宋_GB2312" w:hAnsi="微软雅黑" w:cs="Times New Roman"/>
          <w:color w:val="000000"/>
          <w:sz w:val="32"/>
          <w:szCs w:val="32"/>
          <w:highlight w:val="yellow"/>
          <w:shd w:val="clear" w:color="auto" w:fill="FFFFFF"/>
        </w:rPr>
      </w:pPr>
      <w:r>
        <w:rPr>
          <w:rFonts w:ascii="仿宋_GB2312" w:eastAsia="仿宋_GB2312" w:hAnsi="微软雅黑" w:cs="Times New Roman" w:hint="eastAsia"/>
          <w:color w:val="000000"/>
          <w:sz w:val="32"/>
          <w:szCs w:val="32"/>
          <w:shd w:val="clear" w:color="auto" w:fill="FFFFFF"/>
        </w:rPr>
        <w:t>从收案标的额来看，银行业案件标的额较大，为3,511.76亿元，证券业案件标的额为726.97亿元，保险业案件标的额为31.83亿元。</w:t>
      </w:r>
    </w:p>
    <w:p w:rsidR="00362058" w:rsidRDefault="00362058">
      <w:pPr>
        <w:widowControl/>
        <w:spacing w:line="360" w:lineRule="auto"/>
        <w:ind w:firstLineChars="200" w:firstLine="640"/>
        <w:jc w:val="left"/>
        <w:rPr>
          <w:rFonts w:ascii="仿宋_GB2312" w:eastAsia="仿宋_GB2312" w:hAnsi="微软雅黑" w:cs="Times New Roman"/>
          <w:color w:val="000000"/>
          <w:sz w:val="32"/>
          <w:szCs w:val="32"/>
          <w:highlight w:val="yellow"/>
          <w:shd w:val="clear" w:color="auto" w:fill="FFFFFF"/>
        </w:rPr>
      </w:pPr>
    </w:p>
    <w:p w:rsidR="00362058" w:rsidRDefault="00362058"/>
    <w:p w:rsidR="00362058" w:rsidRDefault="004421A7">
      <w:pPr>
        <w:spacing w:line="360" w:lineRule="auto"/>
        <w:rPr>
          <w:rFonts w:ascii="仿宋_GB2312" w:eastAsia="仿宋_GB2312" w:hAnsi="Calibri" w:cs="Times New Roman"/>
          <w:color w:val="000000"/>
          <w:sz w:val="32"/>
          <w:szCs w:val="32"/>
        </w:rPr>
      </w:pPr>
      <w:r>
        <w:rPr>
          <w:noProof/>
        </w:rPr>
        <w:lastRenderedPageBreak/>
        <w:drawing>
          <wp:inline distT="0" distB="0" distL="114300" distR="114300">
            <wp:extent cx="5429885" cy="3477260"/>
            <wp:effectExtent l="4445" t="4445" r="13970"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2058" w:rsidRDefault="004421A7">
      <w:pPr>
        <w:spacing w:line="360" w:lineRule="auto"/>
        <w:rPr>
          <w:rFonts w:ascii="仿宋_GB2312" w:eastAsia="仿宋_GB2312" w:hAnsi="Calibri" w:cs="Times New Roman"/>
          <w:color w:val="000000"/>
          <w:sz w:val="32"/>
          <w:szCs w:val="32"/>
        </w:rPr>
      </w:pPr>
      <w:r>
        <w:rPr>
          <w:rFonts w:ascii="仿宋_GB2312" w:eastAsia="仿宋_GB2312" w:hAnsi="Calibri" w:cs="Times New Roman" w:hint="eastAsia"/>
          <w:noProof/>
          <w:color w:val="000000"/>
          <w:sz w:val="32"/>
          <w:szCs w:val="32"/>
        </w:rPr>
        <w:lastRenderedPageBreak/>
        <w:drawing>
          <wp:inline distT="0" distB="0" distL="114300" distR="114300">
            <wp:extent cx="5468620" cy="4104640"/>
            <wp:effectExtent l="4445" t="4445" r="13335" b="57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2058" w:rsidRDefault="00362058">
      <w:pPr>
        <w:spacing w:line="360" w:lineRule="auto"/>
        <w:rPr>
          <w:rFonts w:ascii="仿宋_GB2312" w:eastAsia="仿宋_GB2312" w:hAnsi="Calibri" w:cs="Times New Roman"/>
          <w:color w:val="000000"/>
          <w:sz w:val="32"/>
          <w:szCs w:val="32"/>
        </w:rPr>
      </w:pPr>
    </w:p>
    <w:p w:rsidR="00362058" w:rsidRPr="00322682" w:rsidRDefault="004421A7" w:rsidP="00322682">
      <w:pPr>
        <w:numPr>
          <w:ilvl w:val="0"/>
          <w:numId w:val="1"/>
        </w:numPr>
        <w:spacing w:line="600" w:lineRule="exact"/>
        <w:ind w:firstLineChars="200" w:firstLine="640"/>
        <w:rPr>
          <w:rFonts w:ascii="黑体" w:eastAsia="黑体" w:hAnsi="黑体" w:cs="Times New Roman"/>
          <w:color w:val="000000"/>
          <w:sz w:val="32"/>
          <w:szCs w:val="32"/>
        </w:rPr>
      </w:pPr>
      <w:r w:rsidRPr="00322682">
        <w:rPr>
          <w:rFonts w:ascii="黑体" w:eastAsia="黑体" w:hAnsi="黑体" w:cs="Times New Roman" w:hint="eastAsia"/>
          <w:color w:val="000000"/>
          <w:sz w:val="32"/>
          <w:szCs w:val="32"/>
        </w:rPr>
        <w:t>案件特点与态势</w:t>
      </w:r>
    </w:p>
    <w:p w:rsidR="00362058" w:rsidRPr="00322682" w:rsidRDefault="004421A7" w:rsidP="00322D46">
      <w:pPr>
        <w:spacing w:line="600" w:lineRule="exact"/>
        <w:ind w:firstLineChars="200" w:firstLine="640"/>
        <w:rPr>
          <w:rFonts w:ascii="楷体_GB2312" w:eastAsia="楷体_GB2312" w:hAnsiTheme="minorEastAsia" w:cstheme="minorEastAsia"/>
          <w:b/>
          <w:sz w:val="32"/>
          <w:szCs w:val="32"/>
        </w:rPr>
      </w:pPr>
      <w:r w:rsidRPr="00322682">
        <w:rPr>
          <w:rFonts w:ascii="楷体_GB2312" w:eastAsia="楷体_GB2312" w:hAnsiTheme="minorEastAsia" w:cstheme="minorEastAsia" w:hint="eastAsia"/>
          <w:b/>
          <w:sz w:val="32"/>
          <w:szCs w:val="32"/>
        </w:rPr>
        <w:t>（一）总体特点与态势</w:t>
      </w:r>
    </w:p>
    <w:p w:rsidR="00362058" w:rsidRDefault="004421A7" w:rsidP="00322682">
      <w:pPr>
        <w:spacing w:line="600" w:lineRule="exact"/>
        <w:ind w:firstLineChars="200" w:firstLine="643"/>
        <w:rPr>
          <w:rFonts w:ascii="仿宋_GB2312" w:eastAsia="仿宋_GB2312" w:hAnsi="微软雅黑" w:cs="Times New Roman"/>
          <w:b/>
          <w:color w:val="000000"/>
          <w:sz w:val="32"/>
          <w:szCs w:val="32"/>
          <w:shd w:val="clear" w:color="auto" w:fill="FFFFFF"/>
        </w:rPr>
      </w:pPr>
      <w:r>
        <w:rPr>
          <w:rFonts w:ascii="仿宋_GB2312" w:eastAsia="仿宋_GB2312" w:hAnsi="微软雅黑" w:cs="Times New Roman" w:hint="eastAsia"/>
          <w:b/>
          <w:color w:val="000000"/>
          <w:sz w:val="32"/>
          <w:szCs w:val="32"/>
          <w:shd w:val="clear" w:color="auto" w:fill="FFFFFF"/>
        </w:rPr>
        <w:t>1.案件体量持续高位运行，总体格局稳中有变</w:t>
      </w:r>
    </w:p>
    <w:p w:rsidR="00362058" w:rsidRDefault="004421A7" w:rsidP="00322682">
      <w:pPr>
        <w:spacing w:line="600" w:lineRule="exact"/>
        <w:ind w:firstLineChars="200" w:firstLine="640"/>
        <w:rPr>
          <w:rFonts w:ascii="仿宋_GB2312" w:eastAsia="仿宋_GB2312" w:hAnsi="Calibri" w:cs="Times New Roman"/>
          <w:bCs/>
          <w:sz w:val="32"/>
          <w:szCs w:val="32"/>
        </w:rPr>
      </w:pPr>
      <w:r>
        <w:rPr>
          <w:rFonts w:ascii="仿宋_GB2312" w:eastAsia="仿宋_GB2312" w:hAnsi="微软雅黑" w:cs="Times New Roman" w:hint="eastAsia"/>
          <w:bCs/>
          <w:color w:val="000000"/>
          <w:sz w:val="32"/>
          <w:szCs w:val="32"/>
          <w:shd w:val="clear" w:color="auto" w:fill="FFFFFF"/>
        </w:rPr>
        <w:t>五年来，上海金融法院受理的证券类案件、融资类案件持续高位运行，保险类等其他案件数量基本保持平稳。历年受理案件排名前三位的案由为证券虚假陈述责任纠纷、金融借款合同纠纷、融资租赁合同纠纷。证券类案件数量持续保持高位，</w:t>
      </w:r>
      <w:r>
        <w:rPr>
          <w:rFonts w:ascii="仿宋_GB2312" w:eastAsia="仿宋_GB2312" w:hAnsi="微软雅黑" w:cs="Times New Roman"/>
          <w:color w:val="000000"/>
          <w:sz w:val="32"/>
          <w:szCs w:val="32"/>
          <w:shd w:val="clear" w:color="FFFFFF" w:fill="FFFFFF"/>
        </w:rPr>
        <w:t>共受理证券虚假陈</w:t>
      </w:r>
      <w:r>
        <w:rPr>
          <w:rFonts w:ascii="仿宋_GB2312" w:eastAsia="仿宋_GB2312" w:hAnsi="微软雅黑" w:cs="Times New Roman"/>
          <w:color w:val="000000"/>
          <w:sz w:val="32"/>
          <w:szCs w:val="32"/>
          <w:shd w:val="clear" w:color="FFFFFF" w:fill="FFFFFF"/>
        </w:rPr>
        <w:lastRenderedPageBreak/>
        <w:t>述责任纠纷案件1</w:t>
      </w:r>
      <w:r>
        <w:rPr>
          <w:rFonts w:ascii="仿宋_GB2312" w:eastAsia="仿宋_GB2312" w:hAnsi="微软雅黑" w:cs="Times New Roman" w:hint="eastAsia"/>
          <w:color w:val="000000"/>
          <w:sz w:val="32"/>
          <w:szCs w:val="32"/>
          <w:shd w:val="clear" w:color="FFFFFF" w:fill="FFFFFF"/>
        </w:rPr>
        <w:t>6</w:t>
      </w:r>
      <w:r>
        <w:rPr>
          <w:rFonts w:ascii="仿宋_GB2312" w:eastAsia="仿宋_GB2312" w:hAnsi="微软雅黑" w:cs="Times New Roman"/>
          <w:color w:val="000000"/>
          <w:sz w:val="32"/>
          <w:szCs w:val="32"/>
          <w:shd w:val="clear" w:color="FFFFFF" w:fill="FFFFFF"/>
        </w:rPr>
        <w:t>,</w:t>
      </w:r>
      <w:r>
        <w:rPr>
          <w:rFonts w:ascii="仿宋_GB2312" w:eastAsia="仿宋_GB2312" w:hAnsi="微软雅黑" w:cs="Times New Roman" w:hint="eastAsia"/>
          <w:color w:val="000000"/>
          <w:sz w:val="32"/>
          <w:szCs w:val="32"/>
          <w:shd w:val="clear" w:color="FFFFFF" w:fill="FFFFFF"/>
        </w:rPr>
        <w:t>435</w:t>
      </w:r>
      <w:r>
        <w:rPr>
          <w:rFonts w:ascii="仿宋_GB2312" w:eastAsia="仿宋_GB2312" w:hAnsi="微软雅黑" w:cs="Times New Roman"/>
          <w:color w:val="000000"/>
          <w:sz w:val="32"/>
          <w:szCs w:val="32"/>
          <w:shd w:val="clear" w:color="FFFFFF" w:fill="FFFFFF"/>
        </w:rPr>
        <w:t>件（</w:t>
      </w:r>
      <w:r>
        <w:rPr>
          <w:rFonts w:ascii="仿宋_GB2312" w:eastAsia="仿宋_GB2312" w:hAnsi="微软雅黑" w:cs="Times New Roman" w:hint="eastAsia"/>
          <w:color w:val="000000"/>
          <w:sz w:val="32"/>
          <w:szCs w:val="32"/>
          <w:shd w:val="clear" w:color="FFFFFF" w:fill="FFFFFF"/>
        </w:rPr>
        <w:t>不含执行</w:t>
      </w:r>
      <w:r>
        <w:rPr>
          <w:rFonts w:ascii="仿宋_GB2312" w:eastAsia="仿宋_GB2312" w:hAnsi="微软雅黑" w:cs="Times New Roman"/>
          <w:color w:val="000000"/>
          <w:sz w:val="32"/>
          <w:szCs w:val="32"/>
          <w:shd w:val="clear" w:color="FFFFFF" w:fill="FFFFFF"/>
        </w:rPr>
        <w:t>），标的额约6</w:t>
      </w:r>
      <w:r>
        <w:rPr>
          <w:rFonts w:ascii="仿宋_GB2312" w:eastAsia="仿宋_GB2312" w:hAnsi="微软雅黑" w:cs="Times New Roman" w:hint="eastAsia"/>
          <w:color w:val="000000"/>
          <w:sz w:val="32"/>
          <w:szCs w:val="32"/>
          <w:shd w:val="clear" w:color="FFFFFF" w:fill="FFFFFF"/>
        </w:rPr>
        <w:t>7</w:t>
      </w:r>
      <w:r>
        <w:rPr>
          <w:rFonts w:ascii="仿宋_GB2312" w:eastAsia="仿宋_GB2312" w:hAnsi="微软雅黑" w:cs="Times New Roman"/>
          <w:color w:val="000000"/>
          <w:sz w:val="32"/>
          <w:szCs w:val="32"/>
          <w:shd w:val="clear" w:color="FFFFFF" w:fill="FFFFFF"/>
        </w:rPr>
        <w:t>.</w:t>
      </w:r>
      <w:r>
        <w:rPr>
          <w:rFonts w:ascii="仿宋_GB2312" w:eastAsia="仿宋_GB2312" w:hAnsi="微软雅黑" w:cs="Times New Roman" w:hint="eastAsia"/>
          <w:color w:val="000000"/>
          <w:sz w:val="32"/>
          <w:szCs w:val="32"/>
          <w:shd w:val="clear" w:color="FFFFFF" w:fill="FFFFFF"/>
        </w:rPr>
        <w:t>15</w:t>
      </w:r>
      <w:r>
        <w:rPr>
          <w:rFonts w:ascii="仿宋_GB2312" w:eastAsia="仿宋_GB2312" w:hAnsi="微软雅黑" w:cs="Times New Roman"/>
          <w:color w:val="000000"/>
          <w:sz w:val="32"/>
          <w:szCs w:val="32"/>
          <w:shd w:val="clear" w:color="FFFFFF" w:fill="FFFFFF"/>
        </w:rPr>
        <w:t>亿元，涉及40家上市公司</w:t>
      </w:r>
      <w:r>
        <w:rPr>
          <w:rFonts w:ascii="仿宋_GB2312" w:eastAsia="仿宋_GB2312" w:hAnsi="微软雅黑" w:cs="Times New Roman" w:hint="eastAsia"/>
          <w:color w:val="000000"/>
          <w:sz w:val="32"/>
          <w:szCs w:val="32"/>
          <w:shd w:val="clear" w:color="FFFFFF" w:fill="FFFFFF"/>
        </w:rPr>
        <w:t>，</w:t>
      </w:r>
      <w:r>
        <w:rPr>
          <w:rFonts w:ascii="仿宋_GB2312" w:eastAsia="仿宋_GB2312" w:hAnsi="微软雅黑" w:cs="Times New Roman" w:hint="eastAsia"/>
          <w:bCs/>
          <w:color w:val="000000"/>
          <w:sz w:val="32"/>
          <w:szCs w:val="32"/>
          <w:shd w:val="clear" w:color="auto" w:fill="FFFFFF"/>
        </w:rPr>
        <w:t>但2022年以来，随着证券纠纷示范判决机制、代表人诉讼机制等推广应用，诉调对接机制进一步完善，证券纠纷示范案件大幅上升，而平行案件数量同比有所下降。金融借款合同纠纷、融资租赁合同纠纷始终占比较大，金融借款合同纠纷案件标的额总计2,614.17亿元，融资租赁合同纠纷案件标的额总计434.10亿元。受理</w:t>
      </w:r>
      <w:r>
        <w:rPr>
          <w:rFonts w:ascii="仿宋_GB2312" w:eastAsia="仿宋_GB2312" w:hAnsi="Calibri" w:cs="Times New Roman" w:hint="eastAsia"/>
          <w:bCs/>
          <w:sz w:val="32"/>
          <w:szCs w:val="32"/>
        </w:rPr>
        <w:t>保险合同纠纷案件1,468件，标的额</w:t>
      </w:r>
      <w:r>
        <w:rPr>
          <w:rFonts w:ascii="仿宋_GB2312" w:eastAsia="仿宋_GB2312" w:hAnsi="微软雅黑" w:hint="eastAsia"/>
          <w:color w:val="000000" w:themeColor="text1"/>
          <w:sz w:val="32"/>
          <w:szCs w:val="32"/>
          <w:shd w:val="clear" w:color="auto" w:fill="FFFFFF"/>
        </w:rPr>
        <w:t>31.83亿</w:t>
      </w:r>
      <w:r>
        <w:rPr>
          <w:rFonts w:ascii="仿宋_GB2312" w:eastAsia="仿宋_GB2312" w:hAnsi="Calibri" w:cs="Times New Roman" w:hint="eastAsia"/>
          <w:bCs/>
          <w:sz w:val="32"/>
          <w:szCs w:val="32"/>
        </w:rPr>
        <w:t>元，案件数量和标的额基本保持稳定。</w:t>
      </w:r>
    </w:p>
    <w:p w:rsidR="00362058" w:rsidRDefault="004421A7" w:rsidP="00322682">
      <w:pPr>
        <w:widowControl/>
        <w:numPr>
          <w:ilvl w:val="255"/>
          <w:numId w:val="0"/>
        </w:numPr>
        <w:snapToGrid w:val="0"/>
        <w:spacing w:line="600" w:lineRule="exact"/>
        <w:ind w:firstLineChars="200" w:firstLine="643"/>
        <w:rPr>
          <w:rFonts w:ascii="仿宋_GB2312" w:eastAsia="仿宋_GB2312" w:hAnsi="Calibri" w:cs="Times New Roman"/>
          <w:b/>
          <w:sz w:val="32"/>
          <w:szCs w:val="32"/>
        </w:rPr>
      </w:pPr>
      <w:r>
        <w:rPr>
          <w:rFonts w:ascii="仿宋_GB2312" w:eastAsia="仿宋_GB2312" w:hAnsi="Calibri" w:cs="Times New Roman" w:hint="eastAsia"/>
          <w:b/>
          <w:sz w:val="32"/>
          <w:szCs w:val="32"/>
        </w:rPr>
        <w:t>2.案件变化与市场发展密切关联，纠纷折射出社会经济运行态势</w:t>
      </w:r>
    </w:p>
    <w:p w:rsidR="00362058" w:rsidRDefault="004421A7" w:rsidP="00322682">
      <w:pPr>
        <w:widowControl/>
        <w:spacing w:line="600" w:lineRule="exact"/>
        <w:ind w:firstLineChars="200" w:firstLine="640"/>
        <w:rPr>
          <w:rFonts w:ascii="Calibri" w:eastAsia="宋体" w:hAnsi="Calibri" w:cs="Times New Roman"/>
          <w:sz w:val="32"/>
          <w:szCs w:val="32"/>
        </w:rPr>
      </w:pPr>
      <w:r>
        <w:rPr>
          <w:rFonts w:ascii="仿宋_GB2312" w:eastAsia="仿宋_GB2312" w:hAnsi="Calibri" w:cs="Times New Roman" w:hint="eastAsia"/>
          <w:bCs/>
          <w:sz w:val="32"/>
          <w:szCs w:val="32"/>
        </w:rPr>
        <w:t>金融市场是社会经济运行的晴雨表，金融案件变化与市场发展状况息息相关。例如，</w:t>
      </w:r>
      <w:r>
        <w:rPr>
          <w:rFonts w:ascii="仿宋_GB2312" w:eastAsia="仿宋_GB2312" w:hAnsi="微软雅黑" w:cs="Times New Roman" w:hint="eastAsia"/>
          <w:bCs/>
          <w:color w:val="000000"/>
          <w:sz w:val="32"/>
          <w:szCs w:val="32"/>
          <w:shd w:val="clear" w:color="auto" w:fill="FFFFFF"/>
        </w:rPr>
        <w:t>近年来随着房地产行业调整，部分房地产企业因融资引发的票据纠纷呈现增长趋势。五年来，上海金融法院共审结涉房企票据案件713件</w:t>
      </w:r>
      <w:r>
        <w:rPr>
          <w:rFonts w:ascii="仿宋_GB2312" w:eastAsia="仿宋_GB2312" w:hAnsi="微软雅黑" w:cs="Times New Roman"/>
          <w:bCs/>
          <w:color w:val="000000"/>
          <w:sz w:val="32"/>
          <w:szCs w:val="32"/>
          <w:shd w:val="clear" w:color="auto" w:fill="FFFFFF"/>
        </w:rPr>
        <w:t>,</w:t>
      </w:r>
      <w:r>
        <w:rPr>
          <w:rFonts w:ascii="仿宋_GB2312" w:eastAsia="仿宋_GB2312" w:hAnsi="微软雅黑" w:cs="Times New Roman" w:hint="eastAsia"/>
          <w:bCs/>
          <w:color w:val="000000"/>
          <w:sz w:val="32"/>
          <w:szCs w:val="32"/>
          <w:shd w:val="clear" w:color="auto" w:fill="FFFFFF"/>
        </w:rPr>
        <w:t>其中2018年9件，2019年54件，2020年98件，2021年85件，2022年302件，2023年（截至8</w:t>
      </w:r>
      <w:r>
        <w:rPr>
          <w:rFonts w:ascii="仿宋_GB2312" w:eastAsia="仿宋_GB2312" w:hAnsi="微软雅黑" w:cs="Times New Roman"/>
          <w:bCs/>
          <w:color w:val="000000"/>
          <w:sz w:val="32"/>
          <w:szCs w:val="32"/>
          <w:shd w:val="clear" w:color="auto" w:fill="FFFFFF"/>
        </w:rPr>
        <w:t>月</w:t>
      </w:r>
      <w:r>
        <w:rPr>
          <w:rFonts w:ascii="仿宋_GB2312" w:eastAsia="仿宋_GB2312" w:hAnsi="微软雅黑" w:cs="Times New Roman" w:hint="eastAsia"/>
          <w:bCs/>
          <w:color w:val="000000"/>
          <w:sz w:val="32"/>
          <w:szCs w:val="32"/>
          <w:shd w:val="clear" w:color="auto" w:fill="FFFFFF"/>
        </w:rPr>
        <w:t>19</w:t>
      </w:r>
      <w:r>
        <w:rPr>
          <w:rFonts w:ascii="仿宋_GB2312" w:eastAsia="仿宋_GB2312" w:hAnsi="微软雅黑" w:cs="Times New Roman"/>
          <w:bCs/>
          <w:color w:val="000000"/>
          <w:sz w:val="32"/>
          <w:szCs w:val="32"/>
          <w:shd w:val="clear" w:color="auto" w:fill="FFFFFF"/>
        </w:rPr>
        <w:t>日）</w:t>
      </w:r>
      <w:r>
        <w:rPr>
          <w:rFonts w:ascii="仿宋_GB2312" w:eastAsia="仿宋_GB2312" w:hAnsi="微软雅黑" w:cs="Times New Roman" w:hint="eastAsia"/>
          <w:bCs/>
          <w:color w:val="000000"/>
          <w:sz w:val="32"/>
          <w:szCs w:val="32"/>
          <w:shd w:val="clear" w:color="auto" w:fill="FFFFFF"/>
        </w:rPr>
        <w:t>165件。再如，受部分债券发行人盈利能力下降等因素影响，债券市场违约事件时有发生，相关纠纷案件进入司法程序，争议法律问题反映出债券市场风控管理、违约处置机制等有待进一步完善。随着互联网平台经济发展步伐加快，便民惠民行业供需两旺，</w:t>
      </w:r>
      <w:r>
        <w:rPr>
          <w:rFonts w:ascii="仿宋_GB2312" w:eastAsia="仿宋_GB2312" w:hAnsi="Calibri" w:cs="Times New Roman" w:hint="eastAsia"/>
          <w:bCs/>
          <w:sz w:val="32"/>
          <w:szCs w:val="32"/>
        </w:rPr>
        <w:t>涉网</w:t>
      </w:r>
      <w:r>
        <w:rPr>
          <w:rFonts w:ascii="仿宋_GB2312" w:eastAsia="仿宋_GB2312" w:hAnsi="Calibri" w:cs="Times New Roman" w:hint="eastAsia"/>
          <w:bCs/>
          <w:sz w:val="32"/>
          <w:szCs w:val="32"/>
        </w:rPr>
        <w:lastRenderedPageBreak/>
        <w:t>约车、外卖行业吸纳大量就业，相关保险需求大增，但与之配套的保险服务尚不规范，针对相关劳务人员推出的“随单型”复合保险突破传统保险的业务模式和条款内容，引发新类型保险纠纷。</w:t>
      </w:r>
    </w:p>
    <w:p w:rsidR="00362058" w:rsidRDefault="004421A7" w:rsidP="00322682">
      <w:pPr>
        <w:spacing w:line="600" w:lineRule="exact"/>
        <w:ind w:firstLineChars="200" w:firstLine="643"/>
        <w:rPr>
          <w:rFonts w:ascii="仿宋_GB2312" w:eastAsia="仿宋_GB2312" w:hAnsi="Calibri" w:cs="Times New Roman"/>
          <w:b/>
          <w:sz w:val="32"/>
          <w:szCs w:val="32"/>
        </w:rPr>
      </w:pPr>
      <w:r>
        <w:rPr>
          <w:rFonts w:ascii="仿宋_GB2312" w:eastAsia="仿宋_GB2312" w:hAnsi="Calibri" w:cs="Times New Roman" w:hint="eastAsia"/>
          <w:b/>
          <w:sz w:val="32"/>
          <w:szCs w:val="32"/>
        </w:rPr>
        <w:t>3.新型疑难复杂案件频现，司法裁判的规则导向作用日益突出</w:t>
      </w:r>
    </w:p>
    <w:p w:rsidR="00362058" w:rsidRDefault="004421A7" w:rsidP="00322682">
      <w:pPr>
        <w:spacing w:line="600" w:lineRule="exact"/>
        <w:ind w:firstLineChars="200" w:firstLine="640"/>
        <w:contextualSpacing/>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color w:val="000000"/>
          <w:sz w:val="32"/>
          <w:szCs w:val="32"/>
          <w:shd w:val="clear" w:color="auto" w:fill="FFFFFF"/>
        </w:rPr>
        <w:t>随着金融交易模式不断创新、金融产品日益丰富，新型、疑难、复杂案件层出不穷。上海金融法院审理了全国首例涉新三板交易型操纵证券交易市场案、因上市公司不服交易所依据退市新规作出的终止上市决定而诉请撤销案、裁定认可和执行涉离岸债券维好协议香港法院裁判案、投保机构代位上市公司向董监高追偿案等一批新类型案件，涉及诸多金融市场中的前沿问题。上海金融法院通过司法裁判，明确了交易所退市决定的司法审查原则、资管业务差额补足协议的法律效力、金融机构对真实利率的披露义务、区分内外部董事在虚假陈述责任纠纷案件中的法律责任、</w:t>
      </w:r>
      <w:r>
        <w:rPr>
          <w:rFonts w:ascii="仿宋_GB2312" w:eastAsia="仿宋_GB2312" w:hAnsi="汉鼎简老宋" w:cs="汉鼎简老宋" w:hint="eastAsia"/>
          <w:sz w:val="32"/>
          <w:szCs w:val="48"/>
        </w:rPr>
        <w:t>上市公司</w:t>
      </w:r>
      <w:r>
        <w:rPr>
          <w:rFonts w:ascii="仿宋_GB2312" w:eastAsia="仿宋_GB2312" w:hAnsi="仿宋" w:cs="Times New Roman" w:hint="eastAsia"/>
          <w:sz w:val="32"/>
          <w:szCs w:val="32"/>
        </w:rPr>
        <w:t>股权代持被认定无效后的利益分配</w:t>
      </w:r>
      <w:r>
        <w:rPr>
          <w:rFonts w:ascii="仿宋_GB2312" w:eastAsia="仿宋_GB2312" w:hAnsi="微软雅黑" w:cs="Times New Roman" w:hint="eastAsia"/>
          <w:color w:val="000000"/>
          <w:sz w:val="32"/>
          <w:szCs w:val="32"/>
          <w:shd w:val="clear" w:color="auto" w:fill="FFFFFF"/>
        </w:rPr>
        <w:t>等重要规则。</w:t>
      </w:r>
      <w:r>
        <w:rPr>
          <w:rFonts w:ascii="仿宋_GB2312" w:eastAsia="仿宋_GB2312" w:hAnsi="华文仿宋" w:cs="Times New Roman" w:hint="eastAsia"/>
          <w:sz w:val="32"/>
          <w:szCs w:val="32"/>
        </w:rPr>
        <w:t>司法裁判</w:t>
      </w:r>
      <w:r>
        <w:rPr>
          <w:rFonts w:ascii="仿宋_GB2312" w:eastAsia="仿宋_GB2312" w:hAnsi="微软雅黑" w:cs="Times New Roman" w:hint="eastAsia"/>
          <w:color w:val="000000"/>
          <w:sz w:val="32"/>
          <w:szCs w:val="32"/>
          <w:shd w:val="clear" w:color="auto" w:fill="FFFFFF"/>
        </w:rPr>
        <w:t>对相关问题的认定引发金融市场各方高度关注，如</w:t>
      </w:r>
      <w:r>
        <w:rPr>
          <w:rFonts w:ascii="仿宋_GB2312" w:eastAsia="仿宋_GB2312" w:hAnsi="Calibri" w:cs="Times New Roman" w:hint="eastAsia"/>
          <w:sz w:val="32"/>
          <w:szCs w:val="32"/>
        </w:rPr>
        <w:t>中国人民银行发布公告吸纳上海金融法院关于贷款机构须明确披露实际利率的裁判规则，</w:t>
      </w:r>
      <w:r>
        <w:rPr>
          <w:rFonts w:ascii="仿宋_GB2312" w:eastAsia="仿宋_GB2312" w:hAnsi="微软雅黑" w:cs="Times New Roman" w:hint="eastAsia"/>
          <w:color w:val="000000"/>
          <w:sz w:val="32"/>
          <w:szCs w:val="32"/>
          <w:shd w:val="clear" w:color="auto" w:fill="FFFFFF"/>
        </w:rPr>
        <w:t>规范引导作用日益显现。</w:t>
      </w:r>
    </w:p>
    <w:p w:rsidR="00322682" w:rsidRDefault="00322682" w:rsidP="00322682">
      <w:pPr>
        <w:spacing w:line="600" w:lineRule="exact"/>
        <w:ind w:firstLineChars="200" w:firstLine="640"/>
        <w:contextualSpacing/>
        <w:rPr>
          <w:rFonts w:ascii="仿宋_GB2312" w:eastAsia="仿宋_GB2312" w:hAnsi="微软雅黑" w:cs="Times New Roman"/>
          <w:color w:val="000000"/>
          <w:sz w:val="32"/>
          <w:szCs w:val="32"/>
          <w:shd w:val="clear" w:color="auto" w:fill="FFFFFF"/>
        </w:rPr>
      </w:pPr>
    </w:p>
    <w:p w:rsidR="00322682" w:rsidRDefault="00322682" w:rsidP="00322682">
      <w:pPr>
        <w:spacing w:line="600" w:lineRule="exact"/>
        <w:ind w:firstLineChars="200" w:firstLine="640"/>
        <w:contextualSpacing/>
        <w:rPr>
          <w:rFonts w:ascii="仿宋_GB2312" w:eastAsia="仿宋_GB2312" w:hAnsi="微软雅黑" w:cs="Times New Roman"/>
          <w:color w:val="000000"/>
          <w:sz w:val="32"/>
          <w:szCs w:val="32"/>
          <w:shd w:val="clear" w:color="auto" w:fill="FFFFFF"/>
        </w:rPr>
      </w:pPr>
    </w:p>
    <w:p w:rsidR="00362058" w:rsidRDefault="004421A7" w:rsidP="00322682">
      <w:pPr>
        <w:widowControl/>
        <w:snapToGrid w:val="0"/>
        <w:spacing w:line="600" w:lineRule="exact"/>
        <w:ind w:firstLineChars="200" w:firstLine="643"/>
        <w:rPr>
          <w:rFonts w:ascii="仿宋_GB2312" w:eastAsia="仿宋_GB2312" w:hAnsi="Calibri" w:cs="Times New Roman"/>
          <w:b/>
          <w:sz w:val="32"/>
          <w:szCs w:val="32"/>
        </w:rPr>
      </w:pPr>
      <w:r>
        <w:rPr>
          <w:rFonts w:ascii="仿宋_GB2312" w:eastAsia="仿宋_GB2312" w:hAnsi="Calibri" w:cs="Times New Roman" w:hint="eastAsia"/>
          <w:b/>
          <w:sz w:val="32"/>
          <w:szCs w:val="32"/>
        </w:rPr>
        <w:lastRenderedPageBreak/>
        <w:t>4.涉外金融案件涉及地域广类型多，司法裁判彰显中国金融法治的国际形象</w:t>
      </w:r>
    </w:p>
    <w:p w:rsidR="00362058" w:rsidRDefault="004421A7" w:rsidP="00322682">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 xml:space="preserve">随着上海国际金融中心对外开放力度不断加大，跨境资金流动和涉外金融服务日益活跃，上海金融法院建院以来受理 </w:t>
      </w:r>
      <w:r>
        <w:rPr>
          <w:rFonts w:ascii="仿宋_GB2312" w:eastAsia="仿宋_GB2312" w:hAnsi="微软雅黑" w:cs="Times New Roman"/>
          <w:bCs/>
          <w:sz w:val="32"/>
          <w:szCs w:val="32"/>
          <w:shd w:val="clear" w:color="auto" w:fill="FFFFFF"/>
        </w:rPr>
        <w:t>4</w:t>
      </w:r>
      <w:r>
        <w:rPr>
          <w:rFonts w:ascii="仿宋_GB2312" w:eastAsia="仿宋_GB2312" w:hAnsi="微软雅黑" w:cs="Times New Roman" w:hint="eastAsia"/>
          <w:bCs/>
          <w:sz w:val="32"/>
          <w:szCs w:val="32"/>
          <w:shd w:val="clear" w:color="auto" w:fill="FFFFFF"/>
        </w:rPr>
        <w:t>16</w:t>
      </w:r>
      <w:r>
        <w:rPr>
          <w:rFonts w:ascii="仿宋_GB2312" w:eastAsia="仿宋_GB2312" w:hAnsi="微软雅黑" w:cs="Times New Roman"/>
          <w:bCs/>
          <w:color w:val="000000"/>
          <w:sz w:val="32"/>
          <w:szCs w:val="32"/>
          <w:shd w:val="clear" w:color="auto" w:fill="FFFFFF"/>
        </w:rPr>
        <w:t>件</w:t>
      </w:r>
      <w:r>
        <w:rPr>
          <w:rFonts w:ascii="仿宋_GB2312" w:eastAsia="仿宋_GB2312" w:hAnsi="华文仿宋" w:cs="Times New Roman" w:hint="eastAsia"/>
          <w:sz w:val="32"/>
          <w:szCs w:val="32"/>
        </w:rPr>
        <w:t>涉外、涉港澳台案件，</w:t>
      </w:r>
      <w:r>
        <w:rPr>
          <w:rFonts w:ascii="仿宋_GB2312" w:eastAsia="仿宋_GB2312" w:hAnsi="华文仿宋" w:cs="Times New Roman"/>
          <w:sz w:val="32"/>
          <w:szCs w:val="32"/>
        </w:rPr>
        <w:t>涉案当事人遍布</w:t>
      </w:r>
      <w:r>
        <w:rPr>
          <w:rFonts w:ascii="仿宋_GB2312" w:eastAsia="仿宋_GB2312" w:hAnsi="华文仿宋" w:cs="Times New Roman" w:hint="eastAsia"/>
          <w:sz w:val="32"/>
          <w:szCs w:val="32"/>
        </w:rPr>
        <w:t>世界各大</w:t>
      </w:r>
      <w:r>
        <w:rPr>
          <w:rFonts w:ascii="仿宋_GB2312" w:eastAsia="仿宋_GB2312" w:hAnsi="华文仿宋" w:cs="Times New Roman"/>
          <w:sz w:val="32"/>
          <w:szCs w:val="32"/>
        </w:rPr>
        <w:t>洲，涉及24个国家和地区。涉外金融纠纷类型丰富，既包括金融借款、保函及信用证、股权质押回购、公司债券、证券欺诈等实体法律争议，也包括承认与执行外国判决、仲裁裁决，认可与执行港澳台地区法院判决、仲裁裁决等司法协助案件。</w:t>
      </w:r>
      <w:r>
        <w:rPr>
          <w:rFonts w:ascii="仿宋_GB2312" w:eastAsia="仿宋_GB2312" w:hAnsi="华文仿宋" w:cs="Times New Roman" w:hint="eastAsia"/>
          <w:sz w:val="32"/>
          <w:szCs w:val="32"/>
        </w:rPr>
        <w:t>上述涉外金融案件的争议问题涉及金融监管对跨境金融交易行为效力的影响、独立保函与信用证相关国际惯例的适用、ISDA主协议及终止净额结算规则的适用、外国人隐名代持境内上市公司股份的利益分配、承认与执行境外裁判中互惠原则以及公共利益保留规则的适用等。法院对有关问题认定对我国金融法治环境的国际形象产生一定影响。例如，上海金融法院在认可和执行涉离岸债券维好协议香港法院裁判案中，对公共利益保留的范围作出限制性解释，裁定对该判决予以认可与执行，得到彭博新闻社等世界主流财经媒体充分肯定，被认为有效提升了中国企业海外发债信誉。</w:t>
      </w:r>
    </w:p>
    <w:p w:rsidR="00362058" w:rsidRDefault="004421A7">
      <w:pPr>
        <w:widowControl/>
        <w:jc w:val="left"/>
      </w:pPr>
      <w:r>
        <w:rPr>
          <w:noProof/>
        </w:rPr>
        <w:lastRenderedPageBreak/>
        <w:drawing>
          <wp:inline distT="0" distB="0" distL="114300" distR="114300">
            <wp:extent cx="5381625" cy="3856355"/>
            <wp:effectExtent l="4445" t="4445" r="11430" b="1270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2058" w:rsidRDefault="004421A7" w:rsidP="00322682">
      <w:pPr>
        <w:widowControl/>
        <w:snapToGrid w:val="0"/>
        <w:spacing w:line="600" w:lineRule="exact"/>
        <w:ind w:firstLineChars="200" w:firstLine="643"/>
        <w:rPr>
          <w:rFonts w:ascii="仿宋_GB2312" w:eastAsia="仿宋_GB2312" w:hAnsi="Calibri" w:cs="Times New Roman"/>
          <w:bCs/>
          <w:sz w:val="32"/>
          <w:szCs w:val="32"/>
        </w:rPr>
      </w:pPr>
      <w:r>
        <w:rPr>
          <w:rFonts w:ascii="仿宋_GB2312" w:eastAsia="仿宋_GB2312" w:hAnsi="Calibri" w:cs="Times New Roman" w:hint="eastAsia"/>
          <w:b/>
          <w:sz w:val="32"/>
          <w:szCs w:val="32"/>
        </w:rPr>
        <w:t>5.金融风险时有显现，防范治理力度需进一步强化</w:t>
      </w:r>
    </w:p>
    <w:p w:rsidR="00362058" w:rsidRDefault="004421A7" w:rsidP="00322682">
      <w:pPr>
        <w:widowControl/>
        <w:snapToGrid w:val="0"/>
        <w:spacing w:line="60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金融案件中反映出多种类型的金融风险问题，需引起高度重视。一是流动性风险。金融借款、债券、票据等案件数量和标的金额高企，暴露部分企业的流动性风险，金融机构债权风险上升。个别大型企业和金融机构出现流动性问题，影响金融体系安全，同时引发大量金融案件。二是涉众性风险。证券、基金、理财、互联网融资平台等金融案件往往涉及大量的投资者和消费者，众多个人在金融活动中因利益受损提起诉讼，呈现出鲜明的涉众性特征，一定程度上存在影响社会稳定的风险隐患。三是合规性风险。部分案件中反</w:t>
      </w:r>
      <w:r>
        <w:rPr>
          <w:rFonts w:ascii="仿宋_GB2312" w:eastAsia="仿宋_GB2312" w:hAnsi="Calibri" w:cs="Times New Roman" w:hint="eastAsia"/>
          <w:bCs/>
          <w:sz w:val="32"/>
          <w:szCs w:val="32"/>
        </w:rPr>
        <w:lastRenderedPageBreak/>
        <w:t>映出相关企业和金融机构未严格遵守监管要求，合规风控不严、经营行为不规范。违规设置资金池、虚构担保品、违规信息披露、非法集资等引发的民行交叉和民刑交叉问题在金融纠纷中表现较为突出。</w:t>
      </w:r>
    </w:p>
    <w:p w:rsidR="00362058" w:rsidRPr="00322682" w:rsidRDefault="004421A7" w:rsidP="00322D46">
      <w:pPr>
        <w:spacing w:line="600" w:lineRule="exact"/>
        <w:ind w:firstLineChars="200" w:firstLine="640"/>
        <w:rPr>
          <w:rFonts w:ascii="楷体_GB2312" w:eastAsia="楷体_GB2312" w:hAnsiTheme="minorEastAsia" w:cstheme="minorEastAsia"/>
          <w:b/>
          <w:sz w:val="32"/>
          <w:szCs w:val="32"/>
        </w:rPr>
      </w:pPr>
      <w:r w:rsidRPr="00322682">
        <w:rPr>
          <w:rFonts w:ascii="楷体_GB2312" w:eastAsia="楷体_GB2312" w:hAnsiTheme="minorEastAsia" w:cstheme="minorEastAsia" w:hint="eastAsia"/>
          <w:b/>
          <w:sz w:val="32"/>
          <w:szCs w:val="32"/>
        </w:rPr>
        <w:t>(二）银行业案件特点与态势</w:t>
      </w:r>
    </w:p>
    <w:p w:rsidR="00362058" w:rsidRDefault="004421A7" w:rsidP="00322682">
      <w:pPr>
        <w:numPr>
          <w:ilvl w:val="255"/>
          <w:numId w:val="0"/>
        </w:numPr>
        <w:spacing w:line="600" w:lineRule="exact"/>
        <w:ind w:firstLineChars="200" w:firstLine="643"/>
        <w:rPr>
          <w:rFonts w:ascii="仿宋_GB2312" w:eastAsia="仿宋_GB2312" w:hAnsi="微软雅黑" w:cs="Times New Roman"/>
          <w:bCs/>
          <w:color w:val="000000"/>
          <w:sz w:val="32"/>
          <w:szCs w:val="32"/>
          <w:shd w:val="clear" w:color="auto" w:fill="FFFFFF"/>
        </w:rPr>
      </w:pPr>
      <w:r>
        <w:rPr>
          <w:rFonts w:ascii="仿宋_GB2312" w:eastAsia="仿宋_GB2312" w:hAnsi="微软雅黑" w:cs="Times New Roman" w:hint="eastAsia"/>
          <w:b/>
          <w:color w:val="000000"/>
          <w:sz w:val="32"/>
          <w:szCs w:val="32"/>
          <w:shd w:val="clear" w:color="auto" w:fill="FFFFFF"/>
        </w:rPr>
        <w:t>1.供应链金融发展迅速，交易规则体系需进一步完善</w:t>
      </w:r>
    </w:p>
    <w:p w:rsidR="00362058" w:rsidRDefault="004421A7" w:rsidP="00322682">
      <w:pPr>
        <w:numPr>
          <w:ilvl w:val="255"/>
          <w:numId w:val="0"/>
        </w:numPr>
        <w:spacing w:line="600" w:lineRule="exact"/>
        <w:ind w:firstLineChars="200" w:firstLine="640"/>
        <w:rPr>
          <w:rFonts w:ascii="仿宋_GB2312" w:eastAsia="仿宋_GB2312" w:hAnsi="微软雅黑" w:cs="Times New Roman"/>
          <w:bCs/>
          <w:color w:val="000000"/>
          <w:sz w:val="32"/>
          <w:szCs w:val="32"/>
          <w:shd w:val="clear" w:color="auto" w:fill="FFFFFF"/>
        </w:rPr>
      </w:pPr>
      <w:r>
        <w:rPr>
          <w:rFonts w:ascii="仿宋_GB2312" w:eastAsia="仿宋_GB2312" w:hAnsi="微软雅黑" w:cs="Times New Roman" w:hint="eastAsia"/>
          <w:bCs/>
          <w:color w:val="000000"/>
          <w:sz w:val="32"/>
          <w:szCs w:val="32"/>
          <w:shd w:val="clear" w:color="auto" w:fill="FFFFFF"/>
        </w:rPr>
        <w:t>随着金融支持实体经济发展作用的充分发挥，供应链金融模式为企业融资、结算、风险管理提供了更多高效便利的金融服务，但相关规则体系还不够健全。例如，电子票据交易已经成为供应链金融主要应用场景之一，但在实践中出现资产管理人因资产隔离的监管要求无法在电票系统中接受背书作为票据当事人、持票人在兑付义务人破产程序中部分受偿后拆分剩余未受偿的电票金额向各背书人追偿、线上追索与线下追索的不同效力引发了期限争议等问题，与票据法的兼容衔接有待加强。再如，融资租赁合同纠纷中，出现供货商代替客户与融资租赁公司签订售后回租合同后，再将设备出租给零散客户的“转租赁”模式；融资租赁公司与银行开展合作，个人向银行借款偿付全部租金，若个人借款逾期则融资租赁公司代偿后向个人追偿的业务模式，引发合同性质与效力争议。上述争议反映出供应链金融发展活跃，但交易规范和行业管理有待进一步加</w:t>
      </w:r>
      <w:r>
        <w:rPr>
          <w:rFonts w:ascii="仿宋_GB2312" w:eastAsia="仿宋_GB2312" w:hAnsi="微软雅黑" w:cs="Times New Roman" w:hint="eastAsia"/>
          <w:bCs/>
          <w:color w:val="000000"/>
          <w:sz w:val="32"/>
          <w:szCs w:val="32"/>
          <w:shd w:val="clear" w:color="auto" w:fill="FFFFFF"/>
        </w:rPr>
        <w:lastRenderedPageBreak/>
        <w:t>强。</w:t>
      </w:r>
    </w:p>
    <w:p w:rsidR="00362058" w:rsidRDefault="004421A7" w:rsidP="00322682">
      <w:pPr>
        <w:spacing w:line="600" w:lineRule="exact"/>
        <w:ind w:firstLineChars="200" w:firstLine="643"/>
        <w:rPr>
          <w:rFonts w:ascii="仿宋_GB2312" w:eastAsia="仿宋_GB2312" w:hAnsi="微软雅黑" w:cs="Times New Roman"/>
          <w:b/>
          <w:color w:val="000000"/>
          <w:sz w:val="32"/>
          <w:szCs w:val="32"/>
          <w:shd w:val="clear" w:color="auto" w:fill="FFFFFF"/>
        </w:rPr>
      </w:pPr>
      <w:r>
        <w:rPr>
          <w:rFonts w:ascii="仿宋_GB2312" w:eastAsia="仿宋_GB2312" w:hAnsi="微软雅黑" w:cs="Times New Roman" w:hint="eastAsia"/>
          <w:b/>
          <w:color w:val="000000"/>
          <w:sz w:val="32"/>
          <w:szCs w:val="32"/>
          <w:shd w:val="clear" w:color="auto" w:fill="FFFFFF"/>
        </w:rPr>
        <w:t>2.变相推高利率现象仍时有出现，行业规范需进一步强化</w:t>
      </w:r>
    </w:p>
    <w:p w:rsidR="00362058" w:rsidRDefault="004421A7" w:rsidP="00322682">
      <w:pPr>
        <w:spacing w:line="600" w:lineRule="exact"/>
        <w:ind w:firstLineChars="200" w:firstLine="640"/>
        <w:rPr>
          <w:rFonts w:ascii="仿宋_GB2312" w:eastAsia="仿宋_GB2312" w:hAnsi="微软雅黑" w:cs="Times New Roman"/>
          <w:bCs/>
          <w:color w:val="000000"/>
          <w:sz w:val="32"/>
          <w:szCs w:val="32"/>
          <w:shd w:val="clear" w:color="auto" w:fill="FFFFFF"/>
        </w:rPr>
      </w:pPr>
      <w:r>
        <w:rPr>
          <w:rFonts w:ascii="仿宋_GB2312" w:eastAsia="仿宋_GB2312" w:hAnsi="微软雅黑" w:cs="Times New Roman" w:hint="eastAsia"/>
          <w:bCs/>
          <w:color w:val="000000"/>
          <w:sz w:val="32"/>
          <w:szCs w:val="32"/>
          <w:shd w:val="clear" w:color="auto" w:fill="FFFFFF"/>
        </w:rPr>
        <w:t>融资租赁公司、保理公司等各类金融机构开展业务时，利用其优势地位，采取各种方式变相推高利率时有发生，具体形式包括收取高额保证金、预扣或提前收取部分利息、收取高额服务费但未实际提供服务、通过关联方收取中介费等。例如，上海金融法院审结融资租赁合同纠纷案件中涉及变相收取服务费争议的共计252件。该类案件中，出租人是否实际提供服务、服务费收取是否合理、费用抵扣租金后利息重新计算方式等产生较大争议。上海金融法院在相关判决中明确了对金融机构未实际提供服务的收费依法不予支持、对企业融资本金应按照其实际能够支配和使用的标准予以认定等裁判规则，有效规范金融机构行为，帮助实体企业降低直接融资成本。对于该类变相推高利率的现象，还需持续加强行业监督管理，进一步落实金融服务实体经济要求。</w:t>
      </w:r>
    </w:p>
    <w:p w:rsidR="00362058" w:rsidRDefault="004421A7" w:rsidP="00322682">
      <w:pPr>
        <w:spacing w:line="600" w:lineRule="exact"/>
        <w:ind w:firstLineChars="200" w:firstLine="643"/>
        <w:rPr>
          <w:rFonts w:ascii="仿宋_GB2312" w:eastAsia="仿宋_GB2312" w:hAnsi="微软雅黑" w:cs="Times New Roman"/>
          <w:b/>
          <w:color w:val="000000"/>
          <w:sz w:val="32"/>
          <w:szCs w:val="32"/>
          <w:shd w:val="clear" w:color="auto" w:fill="FFFFFF"/>
        </w:rPr>
      </w:pPr>
      <w:r>
        <w:rPr>
          <w:rFonts w:ascii="仿宋_GB2312" w:eastAsia="仿宋_GB2312" w:hAnsi="微软雅黑" w:cs="Times New Roman" w:hint="eastAsia"/>
          <w:b/>
          <w:bCs/>
          <w:color w:val="000000"/>
          <w:sz w:val="32"/>
          <w:szCs w:val="32"/>
          <w:shd w:val="clear" w:color="auto" w:fill="FFFFFF"/>
        </w:rPr>
        <w:t>3.企业破产中多种利益交织，</w:t>
      </w:r>
      <w:r>
        <w:rPr>
          <w:rFonts w:ascii="仿宋_GB2312" w:eastAsia="仿宋_GB2312" w:hAnsi="微软雅黑" w:cs="Times New Roman" w:hint="eastAsia"/>
          <w:b/>
          <w:color w:val="000000"/>
          <w:sz w:val="32"/>
          <w:szCs w:val="32"/>
          <w:shd w:val="clear" w:color="auto" w:fill="FFFFFF"/>
        </w:rPr>
        <w:t>法律衔接问题需引起重视</w:t>
      </w:r>
    </w:p>
    <w:p w:rsidR="00362058" w:rsidRDefault="004421A7" w:rsidP="00322682">
      <w:pPr>
        <w:spacing w:line="600" w:lineRule="exact"/>
        <w:ind w:firstLineChars="200" w:firstLine="640"/>
        <w:rPr>
          <w:rFonts w:ascii="仿宋_GB2312" w:eastAsia="仿宋_GB2312" w:hAnsi="微软雅黑" w:cs="Times New Roman"/>
          <w:bCs/>
          <w:color w:val="000000"/>
          <w:sz w:val="32"/>
          <w:szCs w:val="32"/>
          <w:shd w:val="clear" w:color="auto" w:fill="FFFFFF"/>
        </w:rPr>
      </w:pPr>
      <w:r>
        <w:rPr>
          <w:rFonts w:ascii="仿宋_GB2312" w:eastAsia="仿宋_GB2312" w:hAnsi="微软雅黑" w:cs="Times New Roman" w:hint="eastAsia"/>
          <w:bCs/>
          <w:color w:val="000000"/>
          <w:sz w:val="32"/>
          <w:szCs w:val="32"/>
          <w:shd w:val="clear" w:color="auto" w:fill="FFFFFF"/>
        </w:rPr>
        <w:t>随着金融市场供给侧改革的不断深入，受市场环境变化等多因素叠加影响，部分企业债务风险暴露并进入破产程序，金融债权实现与破产法衔接问题更加突出。上海金融法院审结涉及金融纠纷与破产程序衔接案件共计143件。在多起金融债权实现案件中，银行</w:t>
      </w:r>
      <w:r>
        <w:rPr>
          <w:rFonts w:ascii="仿宋_GB2312" w:eastAsia="仿宋_GB2312" w:hAnsi="微软雅黑" w:cs="Times New Roman" w:hint="eastAsia"/>
          <w:bCs/>
          <w:color w:val="000000"/>
          <w:sz w:val="32"/>
          <w:szCs w:val="32"/>
          <w:shd w:val="clear" w:color="auto" w:fill="FFFFFF"/>
        </w:rPr>
        <w:lastRenderedPageBreak/>
        <w:t>等金融机构作为企业的融资</w:t>
      </w:r>
      <w:r>
        <w:rPr>
          <w:rFonts w:ascii="仿宋_GB2312" w:eastAsia="仿宋_GB2312" w:hAnsi="微软雅黑" w:cs="Times New Roman"/>
          <w:bCs/>
          <w:color w:val="000000"/>
          <w:sz w:val="32"/>
          <w:szCs w:val="32"/>
          <w:shd w:val="clear" w:color="auto" w:fill="FFFFFF"/>
        </w:rPr>
        <w:t>来源</w:t>
      </w:r>
      <w:r>
        <w:rPr>
          <w:rFonts w:ascii="仿宋_GB2312" w:eastAsia="仿宋_GB2312" w:hAnsi="微软雅黑" w:cs="Times New Roman" w:hint="eastAsia"/>
          <w:bCs/>
          <w:color w:val="000000"/>
          <w:sz w:val="32"/>
          <w:szCs w:val="32"/>
          <w:shd w:val="clear" w:color="auto" w:fill="FFFFFF"/>
        </w:rPr>
        <w:t>，其金融债权附有债务人及第三人担保，在企业破产时，债务人、债权人、保证人、存款保险公司等多种主体权利义务交织，债权人同时申报债权、行使担保权、追偿权的情况较为常见，担保制度与破产制度的法律衔接问题易引发争议。</w:t>
      </w:r>
    </w:p>
    <w:p w:rsidR="00362058" w:rsidRPr="00322682" w:rsidRDefault="004421A7" w:rsidP="00322D46">
      <w:pPr>
        <w:spacing w:line="600" w:lineRule="exact"/>
        <w:ind w:firstLineChars="200" w:firstLine="640"/>
        <w:rPr>
          <w:rFonts w:ascii="楷体_GB2312" w:eastAsia="楷体_GB2312" w:hAnsiTheme="minorEastAsia" w:cstheme="minorEastAsia"/>
          <w:b/>
          <w:bCs/>
          <w:sz w:val="32"/>
          <w:szCs w:val="32"/>
        </w:rPr>
      </w:pPr>
      <w:r w:rsidRPr="00322682">
        <w:rPr>
          <w:rFonts w:ascii="楷体_GB2312" w:eastAsia="楷体_GB2312" w:hAnsiTheme="minorEastAsia" w:cstheme="minorEastAsia" w:hint="eastAsia"/>
          <w:b/>
          <w:bCs/>
          <w:sz w:val="32"/>
          <w:szCs w:val="32"/>
        </w:rPr>
        <w:t>（三）证券业案件特点与</w:t>
      </w:r>
      <w:r w:rsidRPr="00322682">
        <w:rPr>
          <w:rFonts w:ascii="楷体_GB2312" w:eastAsia="楷体_GB2312" w:hAnsiTheme="minorEastAsia" w:cstheme="minorEastAsia" w:hint="eastAsia"/>
          <w:b/>
          <w:sz w:val="32"/>
          <w:szCs w:val="32"/>
        </w:rPr>
        <w:t>态势</w:t>
      </w:r>
    </w:p>
    <w:p w:rsidR="00362058" w:rsidRDefault="004421A7" w:rsidP="00322682">
      <w:pPr>
        <w:widowControl/>
        <w:numPr>
          <w:ilvl w:val="255"/>
          <w:numId w:val="0"/>
        </w:numPr>
        <w:spacing w:line="600" w:lineRule="exact"/>
        <w:ind w:firstLineChars="200" w:firstLine="643"/>
        <w:jc w:val="left"/>
        <w:rPr>
          <w:rFonts w:ascii="仿宋_GB2312" w:eastAsia="仿宋_GB2312" w:hAnsi="Calibri" w:cs="Times New Roman"/>
          <w:b/>
          <w:bCs/>
          <w:sz w:val="32"/>
          <w:szCs w:val="32"/>
        </w:rPr>
      </w:pPr>
      <w:r>
        <w:rPr>
          <w:rFonts w:ascii="仿宋_GB2312" w:eastAsia="仿宋_GB2312" w:hAnsi="Calibri" w:cs="Times New Roman" w:hint="eastAsia"/>
          <w:b/>
          <w:bCs/>
          <w:sz w:val="32"/>
          <w:szCs w:val="32"/>
        </w:rPr>
        <w:t>1.证券纠纷的群体性特征日益显现，中小投资者权益保护任重道远</w:t>
      </w:r>
    </w:p>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Calibri" w:cs="Times New Roman" w:hint="eastAsia"/>
          <w:sz w:val="32"/>
          <w:szCs w:val="32"/>
        </w:rPr>
        <w:t>证券虚假陈述责任纠纷案件涉及原告投资者众多，其中一起涉及某上市公司证券虚假陈述责任纠纷案的原告投资者就高达6,539人。2022年1月22日施行的</w:t>
      </w:r>
      <w:r>
        <w:rPr>
          <w:rFonts w:ascii="仿宋_GB2312" w:eastAsia="仿宋_GB2312" w:hAnsi="微软雅黑" w:cs="Times New Roman"/>
          <w:color w:val="000000"/>
          <w:sz w:val="32"/>
          <w:szCs w:val="32"/>
          <w:shd w:val="clear" w:color="auto" w:fill="FFFFFF"/>
        </w:rPr>
        <w:t>《最高人民法院关于审理证券市场虚假陈述侵权民事赔偿案件的若干规定》取消</w:t>
      </w:r>
      <w:r>
        <w:rPr>
          <w:rFonts w:ascii="仿宋_GB2312" w:eastAsia="仿宋_GB2312" w:hAnsi="微软雅黑" w:cs="Times New Roman" w:hint="eastAsia"/>
          <w:color w:val="000000"/>
          <w:sz w:val="32"/>
          <w:szCs w:val="32"/>
          <w:shd w:val="clear" w:color="auto" w:fill="FFFFFF"/>
        </w:rPr>
        <w:t>证券虚假陈述</w:t>
      </w:r>
      <w:r>
        <w:rPr>
          <w:rFonts w:ascii="仿宋_GB2312" w:eastAsia="仿宋_GB2312" w:hAnsi="微软雅黑" w:cs="Times New Roman"/>
          <w:color w:val="000000"/>
          <w:sz w:val="32"/>
          <w:szCs w:val="32"/>
          <w:shd w:val="clear" w:color="auto" w:fill="FFFFFF"/>
        </w:rPr>
        <w:t>民事侵权诉讼的立案前置程序后</w:t>
      </w:r>
      <w:r>
        <w:rPr>
          <w:rFonts w:ascii="仿宋_GB2312" w:eastAsia="仿宋_GB2312" w:hAnsi="微软雅黑" w:cs="Times New Roman" w:hint="eastAsia"/>
          <w:color w:val="000000"/>
          <w:sz w:val="32"/>
          <w:szCs w:val="32"/>
          <w:shd w:val="clear" w:color="auto" w:fill="FFFFFF"/>
        </w:rPr>
        <w:t>，上海金融法院受理证券虚假陈述责任纠纷案件涉及上市公司25家，同比增长167%。其中，2018年（自2018年8月20日至2018年12月30日）涉及上市公司11家，2019年涉及上市公司1家，2020年涉及上市公司2家，2021年涉及上市公司1家，2022年涉及上市公司17家，</w:t>
      </w:r>
      <w:r>
        <w:rPr>
          <w:rFonts w:ascii="仿宋_GB2312" w:eastAsia="仿宋_GB2312" w:hAnsi="微软雅黑" w:cs="Times New Roman"/>
          <w:color w:val="000000"/>
          <w:sz w:val="32"/>
          <w:szCs w:val="32"/>
          <w:shd w:val="clear" w:color="auto" w:fill="FFFFFF"/>
        </w:rPr>
        <w:t>2023年</w:t>
      </w:r>
      <w:r>
        <w:rPr>
          <w:rFonts w:ascii="仿宋_GB2312" w:eastAsia="仿宋_GB2312" w:hAnsi="微软雅黑" w:cs="Times New Roman" w:hint="eastAsia"/>
          <w:color w:val="000000"/>
          <w:sz w:val="32"/>
          <w:szCs w:val="32"/>
          <w:shd w:val="clear" w:color="auto" w:fill="FFFFFF"/>
        </w:rPr>
        <w:t>（截至8</w:t>
      </w:r>
      <w:r>
        <w:rPr>
          <w:rFonts w:ascii="仿宋_GB2312" w:eastAsia="仿宋_GB2312" w:hAnsi="微软雅黑" w:cs="Times New Roman"/>
          <w:color w:val="000000"/>
          <w:sz w:val="32"/>
          <w:szCs w:val="32"/>
          <w:shd w:val="clear" w:color="auto" w:fill="FFFFFF"/>
        </w:rPr>
        <w:t>月</w:t>
      </w:r>
      <w:r>
        <w:rPr>
          <w:rFonts w:ascii="仿宋_GB2312" w:eastAsia="仿宋_GB2312" w:hAnsi="微软雅黑" w:cs="Times New Roman" w:hint="eastAsia"/>
          <w:color w:val="000000"/>
          <w:sz w:val="32"/>
          <w:szCs w:val="32"/>
          <w:shd w:val="clear" w:color="auto" w:fill="FFFFFF"/>
        </w:rPr>
        <w:t>19</w:t>
      </w:r>
      <w:r>
        <w:rPr>
          <w:rFonts w:ascii="仿宋_GB2312" w:eastAsia="仿宋_GB2312" w:hAnsi="微软雅黑" w:cs="Times New Roman"/>
          <w:color w:val="000000"/>
          <w:sz w:val="32"/>
          <w:szCs w:val="32"/>
          <w:shd w:val="clear" w:color="auto" w:fill="FFFFFF"/>
        </w:rPr>
        <w:t>日</w:t>
      </w:r>
      <w:r>
        <w:rPr>
          <w:rFonts w:ascii="仿宋_GB2312" w:eastAsia="仿宋_GB2312" w:hAnsi="微软雅黑" w:cs="Times New Roman" w:hint="eastAsia"/>
          <w:color w:val="000000"/>
          <w:sz w:val="32"/>
          <w:szCs w:val="32"/>
          <w:shd w:val="clear" w:color="auto" w:fill="FFFFFF"/>
        </w:rPr>
        <w:t>）涉及上市公司8家。此外，</w:t>
      </w:r>
      <w:r>
        <w:rPr>
          <w:rFonts w:ascii="仿宋_GB2312" w:eastAsia="仿宋_GB2312" w:hAnsi="Calibri" w:cs="Times New Roman" w:hint="eastAsia"/>
          <w:sz w:val="32"/>
          <w:szCs w:val="32"/>
        </w:rPr>
        <w:t>随着类证券类期货交易平台、线上理财机构清理整顿，投资者起诉平台机构和经纪公司，引发多起系列案</w:t>
      </w:r>
      <w:r>
        <w:rPr>
          <w:rFonts w:ascii="仿宋_GB2312" w:eastAsia="仿宋_GB2312" w:hAnsi="Calibri" w:cs="Times New Roman" w:hint="eastAsia"/>
          <w:sz w:val="32"/>
          <w:szCs w:val="32"/>
        </w:rPr>
        <w:lastRenderedPageBreak/>
        <w:t>件。债券违约纠纷的原告虽以机构投资者为主，但其往往也是作为资管计划、基金或集合信托计划的管理人提起诉讼，涉及大量基础投资者。各方需进一步加强中小投资者权益保护，强化风险警示和投资者教育，打击违法违规金融活动，降低投资者维权成本，</w:t>
      </w:r>
      <w:r>
        <w:rPr>
          <w:rFonts w:ascii="仿宋_GB2312" w:eastAsia="仿宋_GB2312" w:hAnsi="微软雅黑" w:cs="Times New Roman" w:hint="eastAsia"/>
          <w:color w:val="000000"/>
          <w:sz w:val="32"/>
          <w:szCs w:val="32"/>
          <w:shd w:val="clear" w:color="auto" w:fill="FFFFFF"/>
        </w:rPr>
        <w:t>筑牢资本市场稳健发展基石。</w:t>
      </w:r>
    </w:p>
    <w:p w:rsidR="00362058" w:rsidRDefault="004421A7">
      <w:pPr>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noProof/>
          <w:color w:val="000000"/>
          <w:sz w:val="32"/>
          <w:szCs w:val="32"/>
          <w:shd w:val="clear" w:color="auto" w:fill="FFFFFF"/>
        </w:rPr>
        <w:drawing>
          <wp:inline distT="0" distB="0" distL="114300" distR="114300">
            <wp:extent cx="5419090" cy="3236595"/>
            <wp:effectExtent l="4445" t="4445" r="5715" b="1651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2058" w:rsidRDefault="004421A7" w:rsidP="00322682">
      <w:pPr>
        <w:spacing w:line="600" w:lineRule="exact"/>
        <w:ind w:firstLineChars="200" w:firstLine="643"/>
        <w:rPr>
          <w:rFonts w:ascii="Calibri" w:eastAsia="宋体" w:hAnsi="Calibri" w:cs="Times New Roman"/>
          <w:b/>
          <w:bCs/>
          <w:sz w:val="32"/>
          <w:szCs w:val="32"/>
        </w:rPr>
      </w:pPr>
      <w:r>
        <w:rPr>
          <w:rFonts w:ascii="仿宋_GB2312" w:eastAsia="仿宋_GB2312" w:hAnsi="Calibri" w:cs="Times New Roman" w:hint="eastAsia"/>
          <w:b/>
          <w:bCs/>
          <w:sz w:val="32"/>
          <w:szCs w:val="32"/>
        </w:rPr>
        <w:t>2.案件类型呈现多样化趋势，资本市场纠纷所涉领域不断扩展</w:t>
      </w:r>
    </w:p>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Calibri" w:cs="Times New Roman" w:hint="eastAsia"/>
          <w:sz w:val="32"/>
          <w:szCs w:val="32"/>
        </w:rPr>
        <w:t>随着多层次资本市场发展和法律规则完善，上海金融法院受理的证券类纠纷案件类型日益多样化，涉及领域不断扩展。证券虚假陈述责任纠纷中，为确保权益实现，投资者追加证券公司、会计师事务所、律师事务所等中介机构为被告已成为常态</w:t>
      </w:r>
      <w:r>
        <w:rPr>
          <w:rFonts w:ascii="仿宋_GB2312" w:eastAsia="仿宋_GB2312" w:hAnsi="微软雅黑" w:cs="Times New Roman" w:hint="eastAsia"/>
          <w:color w:val="000000"/>
          <w:sz w:val="32"/>
          <w:szCs w:val="32"/>
          <w:shd w:val="clear" w:color="auto" w:fill="FFFFFF"/>
        </w:rPr>
        <w:t>。案件所涉</w:t>
      </w:r>
      <w:r>
        <w:rPr>
          <w:rFonts w:ascii="仿宋_GB2312" w:eastAsia="仿宋_GB2312" w:hAnsi="Calibri" w:cs="Times New Roman" w:hint="eastAsia"/>
          <w:sz w:val="32"/>
          <w:szCs w:val="32"/>
        </w:rPr>
        <w:t>领域亦逐渐从主板市场扩展至新三板市场、债券市场，产品种类从股票、</w:t>
      </w:r>
      <w:r>
        <w:rPr>
          <w:rFonts w:ascii="仿宋_GB2312" w:eastAsia="仿宋_GB2312" w:hAnsi="Calibri" w:cs="Times New Roman" w:hint="eastAsia"/>
          <w:sz w:val="32"/>
          <w:szCs w:val="32"/>
        </w:rPr>
        <w:lastRenderedPageBreak/>
        <w:t>债券扩展至资产支持证券等</w:t>
      </w:r>
      <w:r>
        <w:rPr>
          <w:rFonts w:ascii="仿宋_GB2312" w:eastAsia="仿宋_GB2312" w:hAnsi="微软雅黑" w:cs="Times New Roman" w:hint="eastAsia"/>
          <w:color w:val="000000"/>
          <w:sz w:val="32"/>
          <w:szCs w:val="32"/>
          <w:shd w:val="clear" w:color="auto" w:fill="FFFFFF"/>
        </w:rPr>
        <w:t>。例如，债券违约案件涉及多种债券类型，涵盖债券发行、交易、偿付等债券全周期，纠纷类型从要求发行人支付债券本息扩展为要求相关主体承担担保、侵权等责任。私募基金案件涉及产品“募、投、管、退”等各个阶段，存在基金内部纠纷与外部纠纷等不同表现形式。</w:t>
      </w:r>
    </w:p>
    <w:p w:rsidR="00362058" w:rsidRDefault="004421A7" w:rsidP="00322682">
      <w:pPr>
        <w:widowControl/>
        <w:numPr>
          <w:ilvl w:val="255"/>
          <w:numId w:val="0"/>
        </w:numPr>
        <w:spacing w:line="600" w:lineRule="exact"/>
        <w:ind w:firstLineChars="200" w:firstLine="643"/>
        <w:jc w:val="left"/>
        <w:rPr>
          <w:rFonts w:ascii="仿宋_GB2312" w:eastAsia="仿宋_GB2312" w:hAnsi="Calibri" w:cs="Times New Roman"/>
          <w:b/>
          <w:bCs/>
          <w:sz w:val="32"/>
          <w:szCs w:val="32"/>
        </w:rPr>
      </w:pPr>
      <w:r>
        <w:rPr>
          <w:rFonts w:ascii="仿宋_GB2312" w:eastAsia="仿宋_GB2312" w:hAnsi="Calibri" w:cs="Times New Roman" w:hint="eastAsia"/>
          <w:b/>
          <w:bCs/>
          <w:sz w:val="32"/>
          <w:szCs w:val="32"/>
        </w:rPr>
        <w:t>3.纠纷变化与资本市场改革高度关联，法治化治理合力需进一步强化</w:t>
      </w:r>
    </w:p>
    <w:p w:rsidR="00362058" w:rsidRDefault="004421A7" w:rsidP="00322682">
      <w:pPr>
        <w:spacing w:line="600" w:lineRule="exact"/>
        <w:ind w:firstLineChars="200" w:firstLine="640"/>
        <w:rPr>
          <w:rFonts w:ascii="仿宋_GB2312" w:eastAsia="仿宋_GB2312" w:hAnsi="微软雅黑" w:cs="Times New Roman"/>
          <w:color w:val="000000"/>
          <w:sz w:val="32"/>
          <w:szCs w:val="32"/>
          <w:shd w:val="clear" w:color="auto" w:fill="FFFFFF"/>
        </w:rPr>
      </w:pPr>
      <w:r>
        <w:rPr>
          <w:rFonts w:ascii="仿宋_GB2312" w:eastAsia="仿宋_GB2312" w:hAnsi="微软雅黑" w:cs="Times New Roman" w:hint="eastAsia"/>
          <w:color w:val="000000"/>
          <w:sz w:val="32"/>
          <w:szCs w:val="32"/>
          <w:shd w:val="clear" w:color="auto" w:fill="FFFFFF"/>
        </w:rPr>
        <w:t>证券类案件变化趋势与资本市场改革发展密切相关。例如，随着“资管新规”发布和落实，“刚性兑付”被打破，投资者对受托管理人等主体提起诉讼，包括涉适当性义务纠纷、涉保底安排纠纷、涉清算义务纠纷、涉通道业务纠纷等。股票发行上市注册制全面推行后，欺诈发行纠纷成为重要的证券纠纷类型，其行为认定与责任形式均与传统虚假陈述案件存在区别。随着中介机构责任进一步压实，“追首恶”“惩帮凶”理念深入人心，涉诉主体范围进一步扩大。上市公司退市逐渐常态化后，投资者与退市公司的矛盾纠纷更为凸显，同时引发上市公司因不服退市决定向交易所提起诉讼等新类型纠纷。司法案件与金融改革的高度关联性，要求金融监管部门、司法机构、金融业界等共同努力，深入研究市场基础制度重大改革中的新情况、新问题，形成法治化治理合力，支持资本市场健康发</w:t>
      </w:r>
      <w:r>
        <w:rPr>
          <w:rFonts w:ascii="仿宋_GB2312" w:eastAsia="仿宋_GB2312" w:hAnsi="微软雅黑" w:cs="Times New Roman" w:hint="eastAsia"/>
          <w:color w:val="000000"/>
          <w:sz w:val="32"/>
          <w:szCs w:val="32"/>
          <w:shd w:val="clear" w:color="auto" w:fill="FFFFFF"/>
        </w:rPr>
        <w:lastRenderedPageBreak/>
        <w:t>展。</w:t>
      </w:r>
    </w:p>
    <w:p w:rsidR="00362058" w:rsidRPr="00322682" w:rsidRDefault="004421A7" w:rsidP="00322D46">
      <w:pPr>
        <w:spacing w:line="600" w:lineRule="exact"/>
        <w:ind w:firstLineChars="200" w:firstLine="640"/>
        <w:rPr>
          <w:rFonts w:ascii="楷体_GB2312" w:eastAsia="楷体_GB2312" w:hAnsi="Calibri" w:cs="Times New Roman"/>
          <w:b/>
          <w:bCs/>
          <w:sz w:val="32"/>
          <w:szCs w:val="32"/>
        </w:rPr>
      </w:pPr>
      <w:r w:rsidRPr="00322682">
        <w:rPr>
          <w:rFonts w:ascii="楷体_GB2312" w:eastAsia="楷体_GB2312" w:hAnsiTheme="minorEastAsia" w:cstheme="minorEastAsia" w:hint="eastAsia"/>
          <w:b/>
          <w:bCs/>
          <w:sz w:val="32"/>
          <w:szCs w:val="32"/>
        </w:rPr>
        <w:t>（四）保险业案件特点与</w:t>
      </w:r>
      <w:r w:rsidRPr="00322682">
        <w:rPr>
          <w:rFonts w:ascii="楷体_GB2312" w:eastAsia="楷体_GB2312" w:hAnsiTheme="minorEastAsia" w:cstheme="minorEastAsia" w:hint="eastAsia"/>
          <w:b/>
          <w:sz w:val="32"/>
          <w:szCs w:val="32"/>
        </w:rPr>
        <w:t>态势</w:t>
      </w:r>
    </w:p>
    <w:p w:rsidR="00362058" w:rsidRDefault="004421A7" w:rsidP="00322682">
      <w:pPr>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1.涉机动车保险争议问题相对集中，车险市场需进一步加强规范管理</w:t>
      </w:r>
    </w:p>
    <w:p w:rsidR="00362058" w:rsidRDefault="004421A7" w:rsidP="00322682">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各类保险纠纷案件中，财产保险合同纠纷案件占比最高，上海金融法院共受理财产保险合同纠纷案件507件，其中涉机动车保险纠纷115件，占比22.68%，包括机动车损失险、机动车第三者责任险、机动车综合保险等。机动车保险案件的争议问题较为集中，主要涉及车辆定损金额是否合理，改装车辆、改变车辆运营性质是否构成“危险程度显著增加”，保险公司能否向非机动车方主张代位求偿权，无证驾驶、驾驶证过期、无道路货物运输从业职业资格证、未按规定年检等情形是否构成有效免责事由等。保险人需进一步加强诚信经营和规范管理，完善合同条款，在承保时切实履行信息审核、提示说明等法定义务，在出险后及时核定损失并依法依约理赔。</w:t>
      </w:r>
    </w:p>
    <w:p w:rsidR="00362058" w:rsidRDefault="004421A7" w:rsidP="00322682">
      <w:pPr>
        <w:spacing w:line="600" w:lineRule="exact"/>
        <w:ind w:firstLineChars="200" w:firstLine="643"/>
        <w:rPr>
          <w:rFonts w:ascii="仿宋_GB2312" w:eastAsia="仿宋_GB2312" w:hAnsi="Calibri" w:cs="Times New Roman"/>
          <w:b/>
          <w:sz w:val="32"/>
          <w:szCs w:val="32"/>
        </w:rPr>
      </w:pPr>
      <w:r>
        <w:rPr>
          <w:rFonts w:ascii="仿宋_GB2312" w:eastAsia="仿宋_GB2312" w:hAnsi="Calibri" w:cs="Times New Roman" w:hint="eastAsia"/>
          <w:b/>
          <w:sz w:val="32"/>
          <w:szCs w:val="32"/>
        </w:rPr>
        <w:t>2.涉企业用工类保险数量持续增长，新型平台类就业劳动者权益保护需进一步加强</w:t>
      </w:r>
    </w:p>
    <w:p w:rsidR="00362058" w:rsidRDefault="004421A7" w:rsidP="00322682">
      <w:pPr>
        <w:spacing w:line="600" w:lineRule="exact"/>
        <w:ind w:firstLineChars="200" w:firstLine="640"/>
        <w:rPr>
          <w:rFonts w:ascii="仿宋_GB2312" w:eastAsia="仿宋_GB2312" w:hAnsi="Calibri" w:cs="Times New Roman"/>
          <w:b/>
          <w:bCs/>
          <w:sz w:val="32"/>
          <w:szCs w:val="32"/>
        </w:rPr>
      </w:pPr>
      <w:r>
        <w:rPr>
          <w:rFonts w:ascii="仿宋_GB2312" w:eastAsia="仿宋_GB2312" w:hAnsi="Calibri" w:cs="Times New Roman" w:hint="eastAsia"/>
          <w:sz w:val="32"/>
          <w:szCs w:val="32"/>
        </w:rPr>
        <w:t>随着互联网经济的发展以及我国人口老龄化趋势加深，劳资双方需求发展转变，出现临时用工、间接用工、超龄用工等多样化的</w:t>
      </w:r>
      <w:r>
        <w:rPr>
          <w:rFonts w:ascii="仿宋_GB2312" w:eastAsia="仿宋_GB2312" w:hAnsi="Calibri" w:cs="Times New Roman" w:hint="eastAsia"/>
          <w:sz w:val="32"/>
          <w:szCs w:val="32"/>
        </w:rPr>
        <w:lastRenderedPageBreak/>
        <w:t>用工形式，同时快递、外卖、网约车等平台类新型就业快速发展，与之相关的意外伤害保险、医疗保险、雇主责任险市场发展也面临机遇与挑战。2019年至2022年，上海金融法院受理责任保险合同纠纷案件的数量分别为14件、17件、22件和33件，其中以雇主责任险合同纠纷案件为主。而雇主责任险</w:t>
      </w:r>
      <w:r>
        <w:rPr>
          <w:rFonts w:ascii="仿宋_GB2312" w:eastAsia="仿宋_GB2312" w:hAnsi="Calibri" w:cs="Times New Roman"/>
          <w:sz w:val="32"/>
          <w:szCs w:val="32"/>
        </w:rPr>
        <w:t>保险条款通常将理赔范围限制在与雇主成立劳动关系的雇员</w:t>
      </w:r>
      <w:r>
        <w:rPr>
          <w:rFonts w:ascii="仿宋_GB2312" w:eastAsia="仿宋_GB2312" w:hAnsi="Calibri" w:cs="Times New Roman" w:hint="eastAsia"/>
          <w:sz w:val="32"/>
          <w:szCs w:val="32"/>
        </w:rPr>
        <w:t>，上述多种用工形式下认定事实劳动关系或者劳务关系存在不确定性。同时，部分雇主责任险条款中，对其赔付的范围在赔付情形以及金额等方面做出严格的限制，如部分保险合同中对于赔付范围限定于实际损失与社会工伤保险部分的差额。因上述情形导致该类型保险在实践中是否应当赔付产生较大争议，相关纠纷频发，劳动者权益保障亟待进一步强化。</w:t>
      </w:r>
    </w:p>
    <w:p w:rsidR="00362058" w:rsidRDefault="004421A7" w:rsidP="00322682">
      <w:pPr>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3.互联网保险发展迅猛，线上投保业务模式有待进一步完善</w:t>
      </w:r>
    </w:p>
    <w:p w:rsidR="00362058" w:rsidRDefault="004421A7" w:rsidP="00322682">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近年来互联网经济快速发展，保险业数字化转型不断加速，保险公司纷纷推出互联网保险产品、部署互联网保险销售业务。与传统的线下销售相比，互联网销售场景有非对话、难磋商等特殊性</w:t>
      </w:r>
      <w:r>
        <w:rPr>
          <w:rFonts w:ascii="仿宋_GB2312" w:eastAsia="仿宋_GB2312" w:hAnsi="Calibri" w:cs="Times New Roman"/>
          <w:sz w:val="32"/>
          <w:szCs w:val="32"/>
        </w:rPr>
        <w:t>,</w:t>
      </w:r>
      <w:r>
        <w:rPr>
          <w:rFonts w:ascii="仿宋_GB2312" w:eastAsia="仿宋_GB2312" w:hAnsi="Calibri" w:cs="Times New Roman" w:hint="eastAsia"/>
          <w:sz w:val="32"/>
          <w:szCs w:val="32"/>
        </w:rPr>
        <w:t>对投保人身份的确认、保险条款的交付、保险人提示说明义务的履行、特别约定的磋商等造成障碍。相关案件反映出，部分保险公司将保险产品与其他平台的火车票、飞机票等产品捆绑销售，部分保险公司仅将保险条款以链接形式嵌入到投保页面，未设置合理方式</w:t>
      </w:r>
      <w:r>
        <w:rPr>
          <w:rFonts w:ascii="仿宋_GB2312" w:eastAsia="仿宋_GB2312" w:hAnsi="Calibri" w:cs="Times New Roman" w:hint="eastAsia"/>
          <w:sz w:val="32"/>
          <w:szCs w:val="32"/>
        </w:rPr>
        <w:lastRenderedPageBreak/>
        <w:t>提示保险免责条款和特别约定条款。互联网保险业务投保审核需进一步加强规范，推进销售行为可回溯管理，全面落实保险机构销售阶段的法定义务，推动互联网保险业务规范化发展。</w:t>
      </w:r>
    </w:p>
    <w:p w:rsidR="00362058" w:rsidRPr="00322682" w:rsidRDefault="004421A7" w:rsidP="00322D46">
      <w:pPr>
        <w:spacing w:line="600" w:lineRule="exact"/>
        <w:ind w:firstLineChars="200" w:firstLine="640"/>
        <w:rPr>
          <w:rFonts w:ascii="楷体_GB2312" w:eastAsia="楷体_GB2312" w:hAnsiTheme="minorEastAsia" w:cstheme="minorEastAsia"/>
          <w:b/>
          <w:bCs/>
          <w:sz w:val="32"/>
          <w:szCs w:val="32"/>
        </w:rPr>
      </w:pPr>
      <w:bookmarkStart w:id="2" w:name="_Toc138459989"/>
      <w:bookmarkStart w:id="3" w:name="_Toc27708"/>
      <w:bookmarkStart w:id="4" w:name="_Toc669610320"/>
      <w:bookmarkStart w:id="5" w:name="_Toc16639"/>
      <w:bookmarkStart w:id="6" w:name="_Toc49319808"/>
      <w:bookmarkStart w:id="7" w:name="_Toc27667"/>
      <w:bookmarkStart w:id="8" w:name="_Toc3542"/>
      <w:bookmarkStart w:id="9" w:name="_Toc26571"/>
      <w:bookmarkStart w:id="10" w:name="_Toc20483"/>
      <w:bookmarkStart w:id="11" w:name="_Toc10291"/>
      <w:bookmarkStart w:id="12" w:name="_Toc26427"/>
      <w:bookmarkStart w:id="13" w:name="_Toc583387673"/>
      <w:bookmarkStart w:id="14" w:name="_Toc1660646198"/>
      <w:r w:rsidRPr="00322682">
        <w:rPr>
          <w:rFonts w:ascii="楷体_GB2312" w:eastAsia="楷体_GB2312" w:hAnsiTheme="minorEastAsia" w:cstheme="minorEastAsia" w:hint="eastAsia"/>
          <w:b/>
          <w:bCs/>
          <w:sz w:val="32"/>
          <w:szCs w:val="32"/>
        </w:rPr>
        <w:t>（五）执行案件特点与态势</w:t>
      </w:r>
    </w:p>
    <w:p w:rsidR="00362058" w:rsidRDefault="004421A7" w:rsidP="00322682">
      <w:pPr>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1.执行案件标的金额巨大，社会关注度高</w:t>
      </w:r>
    </w:p>
    <w:p w:rsidR="00362058" w:rsidRDefault="004421A7" w:rsidP="00322682">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申请执行标的金额整体上呈逐年上升趋势，年均增长率均超过40%，案均近6,500万元。申请执行标的金额为5,000万元至1亿元的共392件，1亿元至5亿元的共637件，超过5亿元的共179件，最高达48亿元。初执案件数量约占全市法院的千分之七，申请执行标的金额约占全市法院的</w:t>
      </w:r>
      <w:r w:rsidR="00322D46">
        <w:rPr>
          <w:rFonts w:ascii="仿宋_GB2312" w:eastAsia="仿宋_GB2312" w:hAnsi="Calibri" w:cs="Times New Roman" w:hint="eastAsia"/>
          <w:sz w:val="32"/>
          <w:szCs w:val="32"/>
        </w:rPr>
        <w:t>四</w:t>
      </w:r>
      <w:r>
        <w:rPr>
          <w:rFonts w:ascii="仿宋_GB2312" w:eastAsia="仿宋_GB2312" w:hAnsi="Calibri" w:cs="Times New Roman" w:hint="eastAsia"/>
          <w:sz w:val="32"/>
          <w:szCs w:val="32"/>
        </w:rPr>
        <w:t>分之一。执行财产涉及主板上市公司及新三板挂牌公司86家超过100亿股股票。重大执行案件对金融市场产生较大影响，受到业界和社会公众的高度关注。</w:t>
      </w:r>
    </w:p>
    <w:p w:rsidR="00362058" w:rsidRDefault="004421A7" w:rsidP="00322682">
      <w:pPr>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b/>
          <w:bCs/>
          <w:sz w:val="32"/>
          <w:szCs w:val="32"/>
        </w:rPr>
        <w:t>2.</w:t>
      </w:r>
      <w:r>
        <w:rPr>
          <w:rFonts w:ascii="仿宋_GB2312" w:eastAsia="仿宋_GB2312" w:hAnsi="Calibri" w:cs="Times New Roman" w:hint="eastAsia"/>
          <w:b/>
          <w:bCs/>
          <w:sz w:val="32"/>
          <w:szCs w:val="32"/>
        </w:rPr>
        <w:t>新型执行案件频现，涉行为义务争议集中</w:t>
      </w:r>
    </w:p>
    <w:p w:rsidR="00362058" w:rsidRDefault="004421A7" w:rsidP="00322682">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随着近年来涉私募基金、融资租赁、限售股解禁等纠纷的多发，被执行人负有行为给付义务的执行案件逐渐增多，金钱债权与行为义务交织，新类型案件频发。就私募基金份额赎回、清算等行为义务而言，基金净值如何确定、能否以及如何变价底层资产、赎回清算可否替代履行等问题易发争议。就融资租赁物返还义务而言，有租赁物为使用中的机器设备，拆除返还将影响正常生产经营，有租</w:t>
      </w:r>
      <w:r>
        <w:rPr>
          <w:rFonts w:ascii="仿宋_GB2312" w:eastAsia="仿宋_GB2312" w:hAnsi="Calibri" w:cs="Times New Roman" w:hint="eastAsia"/>
          <w:sz w:val="32"/>
          <w:szCs w:val="32"/>
        </w:rPr>
        <w:lastRenderedPageBreak/>
        <w:t>赁物拆除返还成本过高，有租赁物无法拆除返还且如何确定其价值争议较大。就上市公司限售股解禁义务而言，上市公司解禁义务的内容和边界如何确定、如何判定上市公司是否已履行解禁义务、能否要求证券登记结算公司或者证券交易所协助强制解禁等，还需要进一步明确。</w:t>
      </w:r>
    </w:p>
    <w:p w:rsidR="00362058" w:rsidRDefault="004421A7" w:rsidP="00322682">
      <w:pPr>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b/>
          <w:bCs/>
          <w:sz w:val="32"/>
          <w:szCs w:val="32"/>
        </w:rPr>
        <w:t>3.</w:t>
      </w:r>
      <w:r>
        <w:rPr>
          <w:rFonts w:ascii="仿宋_GB2312" w:eastAsia="仿宋_GB2312" w:hAnsi="Calibri" w:cs="Times New Roman" w:hint="eastAsia"/>
          <w:b/>
          <w:bCs/>
          <w:sz w:val="32"/>
          <w:szCs w:val="32"/>
        </w:rPr>
        <w:t>部分执行案件易引发群体性纠纷，需强化风险防范化解</w:t>
      </w:r>
    </w:p>
    <w:bookmarkEnd w:id="2"/>
    <w:bookmarkEnd w:id="3"/>
    <w:bookmarkEnd w:id="4"/>
    <w:bookmarkEnd w:id="5"/>
    <w:bookmarkEnd w:id="6"/>
    <w:bookmarkEnd w:id="7"/>
    <w:bookmarkEnd w:id="8"/>
    <w:bookmarkEnd w:id="9"/>
    <w:bookmarkEnd w:id="10"/>
    <w:bookmarkEnd w:id="11"/>
    <w:bookmarkEnd w:id="12"/>
    <w:bookmarkEnd w:id="13"/>
    <w:bookmarkEnd w:id="14"/>
    <w:p w:rsidR="00362058" w:rsidRDefault="004421A7" w:rsidP="00322682">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随着个人和小微企业等越来越多参与金融活动，金融执行案件中涉众型风险逐渐显现。在管理人代表私募基金、资产管理计划、信托产品申请执行的案件中，执行结果直接关系到持有产品份额的大量中小投资者的利益。在被执行人及财产涉及涉众型刑事犯罪的案件中，刑事被害人往往以查封财产涉刑为由要求停止执行，对查封财产享有担保物权的申请执行人则要求依法继续执行。在商业综合体的处置中，大量租赁合同后于抵押权设立，申请执行人通常主张不负担租赁进行拍卖以实现债权受偿的最大化，影响众多承租人正常经营。在涉及商品房、在建工程的案件中，申请执行人的抵押权、购房者物权期待权以及承包方的建设工程价款优先受偿权之间存在冲突。如何妥善处理上述问题，需各方加强协同，平衡多方利益，寻求最佳解决路径，防范化解风险。</w:t>
      </w:r>
    </w:p>
    <w:p w:rsidR="00362058" w:rsidRDefault="00362058" w:rsidP="00322682">
      <w:pPr>
        <w:spacing w:line="600" w:lineRule="exact"/>
        <w:ind w:firstLineChars="200" w:firstLine="640"/>
        <w:rPr>
          <w:rFonts w:ascii="仿宋_GB2312" w:eastAsia="仿宋_GB2312" w:hAnsi="Calibri" w:cs="Times New Roman"/>
          <w:sz w:val="32"/>
          <w:szCs w:val="32"/>
        </w:rPr>
      </w:pPr>
    </w:p>
    <w:p w:rsidR="00362058" w:rsidRDefault="004421A7" w:rsidP="00322682">
      <w:pPr>
        <w:spacing w:line="600" w:lineRule="exact"/>
        <w:ind w:firstLineChars="200" w:firstLine="643"/>
        <w:rPr>
          <w:rFonts w:ascii="仿宋_GB2312" w:eastAsia="黑体" w:hAnsi="Calibri" w:cs="Times New Roman"/>
          <w:b/>
          <w:bCs/>
          <w:sz w:val="32"/>
          <w:szCs w:val="32"/>
        </w:rPr>
      </w:pPr>
      <w:r>
        <w:rPr>
          <w:rFonts w:ascii="黑体" w:eastAsia="黑体" w:hAnsi="黑体" w:cs="Times New Roman" w:hint="eastAsia"/>
          <w:b/>
          <w:sz w:val="32"/>
          <w:szCs w:val="32"/>
        </w:rPr>
        <w:lastRenderedPageBreak/>
        <w:t>三、工作举措及成效</w:t>
      </w:r>
    </w:p>
    <w:p w:rsidR="00362058" w:rsidRPr="00322682" w:rsidRDefault="004421A7" w:rsidP="00322D46">
      <w:pPr>
        <w:snapToGrid w:val="0"/>
        <w:spacing w:line="600" w:lineRule="exact"/>
        <w:ind w:firstLineChars="200" w:firstLine="640"/>
        <w:rPr>
          <w:rFonts w:ascii="楷体_GB2312" w:eastAsia="楷体_GB2312" w:hAnsi="Calibri" w:cs="Times New Roman"/>
          <w:b/>
          <w:bCs/>
          <w:sz w:val="32"/>
          <w:szCs w:val="32"/>
        </w:rPr>
      </w:pPr>
      <w:r w:rsidRPr="00322682">
        <w:rPr>
          <w:rFonts w:ascii="楷体_GB2312" w:eastAsia="楷体_GB2312" w:hAnsi="Calibri" w:cs="Times New Roman" w:hint="eastAsia"/>
          <w:b/>
          <w:bCs/>
          <w:sz w:val="32"/>
          <w:szCs w:val="32"/>
        </w:rPr>
        <w:t>（一）聚焦规则创设，强化机制创新，努力提升金融司法核心竞争力</w:t>
      </w:r>
    </w:p>
    <w:p w:rsidR="00362058" w:rsidRDefault="004421A7" w:rsidP="00322682">
      <w:pPr>
        <w:snapToGrid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积极回应金融行业高速发展对金融纠纷高质高效化解的司法需求，坚持规则引领，公正高效审理各类金融纠纷案件，注重机制建设，形成一批可复制可推广的金融审判执行经验。</w:t>
      </w:r>
      <w:r>
        <w:rPr>
          <w:rFonts w:ascii="仿宋_GB2312" w:eastAsia="仿宋_GB2312" w:hAnsi="Calibri" w:cs="Times New Roman" w:hint="eastAsia"/>
          <w:b/>
          <w:bCs/>
          <w:sz w:val="32"/>
          <w:szCs w:val="32"/>
        </w:rPr>
        <w:t>打造裁判标杆，树立“中国标准”，</w:t>
      </w:r>
      <w:r>
        <w:rPr>
          <w:rFonts w:ascii="仿宋_GB2312" w:eastAsia="仿宋_GB2312" w:hAnsi="Calibri" w:cs="Times New Roman" w:hint="eastAsia"/>
          <w:sz w:val="32"/>
          <w:szCs w:val="32"/>
        </w:rPr>
        <w:t>坚持实施精品案例战略，先后审结了全国首例落实民事赔偿责任优先的证券侵权案、证券交易所依据退市新规决定终止上市行政诉讼案、新三板操纵证券交易市场责任纠纷案、判决贷款机构应当明确披露实际利率案等一批重大、疑难、复杂、新类型案件，其中14</w:t>
      </w:r>
      <w:r>
        <w:rPr>
          <w:rFonts w:ascii="仿宋_GB2312" w:eastAsia="仿宋_GB2312" w:hAnsi="Calibri" w:cs="Times New Roman"/>
          <w:sz w:val="32"/>
          <w:szCs w:val="32"/>
        </w:rPr>
        <w:t>件</w:t>
      </w:r>
      <w:r>
        <w:rPr>
          <w:rFonts w:ascii="仿宋_GB2312" w:eastAsia="仿宋_GB2312" w:hAnsi="Calibri" w:cs="Times New Roman" w:hint="eastAsia"/>
          <w:sz w:val="32"/>
          <w:szCs w:val="32"/>
        </w:rPr>
        <w:t>案件为</w:t>
      </w:r>
      <w:r>
        <w:rPr>
          <w:rFonts w:ascii="仿宋_GB2312" w:eastAsia="仿宋_GB2312" w:hAnsi="Calibri" w:cs="Times New Roman"/>
          <w:sz w:val="32"/>
          <w:szCs w:val="32"/>
        </w:rPr>
        <w:t>全国首例案件，2</w:t>
      </w:r>
      <w:r>
        <w:rPr>
          <w:rFonts w:ascii="仿宋_GB2312" w:eastAsia="仿宋_GB2312" w:hAnsi="Calibri" w:cs="Times New Roman" w:hint="eastAsia"/>
          <w:sz w:val="32"/>
          <w:szCs w:val="32"/>
        </w:rPr>
        <w:t>3起案件分别入选新时代推动法治进程十大案件，《最高人民法院公报》，人民法院十大案件，全国十大商事、行政、执行、纠纷多元化解、消费维权典型案例及全国法院十大影响性诉讼等全国级典型案例，28件案件入选上海法院金融商事审判十大案例、上海高院参考性案例、上海法院涉外金融纠纷典型案例、上海法院服务保障“一带一路”建设典型案例等市级典型案例。健全典型案例年度发布机制和长三角区域典型案例联合发布、金融司法与金融监管法治案例联合发布等特色案例专项发布机制，发布上海金融法院年度审判情况通报、金融</w:t>
      </w:r>
      <w:r>
        <w:rPr>
          <w:rFonts w:ascii="仿宋_GB2312" w:eastAsia="仿宋_GB2312" w:hAnsi="Calibri" w:cs="Times New Roman" w:hint="eastAsia"/>
          <w:sz w:val="32"/>
          <w:szCs w:val="32"/>
        </w:rPr>
        <w:lastRenderedPageBreak/>
        <w:t>行政案件审判情况白皮书及典型案例、证券期货投资者权益保护十大典型案例、长三角金融审判典型案例等，中国人民银行发布公告吸纳上海金融法院判决贷款机构须明确披露实际利率的裁判规则，切实维护实体企业和金融消费者权益。彭博新闻社等世界主流财经媒体对“维好协议案”认可香港法院判决效力给予充分肯定，被认为有效提升中国企业海外发债信誉，充分发挥金融审判规则稳定裁判预期、传递价值导向、助力监管完善、推动金融立法的积极作用。</w:t>
      </w:r>
      <w:r>
        <w:rPr>
          <w:rFonts w:ascii="仿宋_GB2312" w:eastAsia="仿宋_GB2312" w:hAnsi="Calibri" w:cs="Times New Roman" w:hint="eastAsia"/>
          <w:b/>
          <w:bCs/>
          <w:sz w:val="32"/>
          <w:szCs w:val="32"/>
        </w:rPr>
        <w:t>创新专业机制，形成“上海经验”，</w:t>
      </w:r>
      <w:r>
        <w:rPr>
          <w:rFonts w:ascii="仿宋_GB2312" w:eastAsia="仿宋_GB2312" w:hAnsi="Calibri" w:cs="Times New Roman" w:hint="eastAsia"/>
          <w:sz w:val="32"/>
          <w:szCs w:val="32"/>
        </w:rPr>
        <w:t>利用专业审判资源优势，根据金融商事案件特点，遵循金融商事审判规律，在全国首创证券纠纷示范判决机制</w:t>
      </w:r>
      <w:r>
        <w:rPr>
          <w:rFonts w:ascii="仿宋_GB2312" w:eastAsia="仿宋_GB2312" w:hAnsi="Calibri" w:cs="Times New Roman"/>
          <w:sz w:val="32"/>
          <w:szCs w:val="32"/>
          <w:vertAlign w:val="superscript"/>
        </w:rPr>
        <w:footnoteReference w:id="9"/>
      </w:r>
      <w:r>
        <w:rPr>
          <w:rFonts w:ascii="仿宋_GB2312" w:eastAsia="仿宋_GB2312" w:hAnsi="Calibri" w:cs="Times New Roman" w:hint="eastAsia"/>
          <w:sz w:val="32"/>
          <w:szCs w:val="32"/>
        </w:rPr>
        <w:t>，形成“示范判决</w:t>
      </w:r>
      <w:r>
        <w:rPr>
          <w:rFonts w:ascii="仿宋_GB2312" w:eastAsia="仿宋_GB2312" w:hAnsi="Calibri" w:cs="Times New Roman"/>
          <w:sz w:val="32"/>
          <w:szCs w:val="32"/>
        </w:rPr>
        <w:t>+专业调解+司法确认</w:t>
      </w:r>
      <w:r>
        <w:rPr>
          <w:rFonts w:ascii="仿宋_GB2312" w:eastAsia="仿宋_GB2312" w:hAnsi="Calibri" w:cs="Times New Roman" w:hint="eastAsia"/>
          <w:sz w:val="32"/>
          <w:szCs w:val="32"/>
        </w:rPr>
        <w:t>”“</w:t>
      </w:r>
      <w:r>
        <w:rPr>
          <w:rFonts w:ascii="仿宋_GB2312" w:eastAsia="仿宋_GB2312" w:hAnsi="Calibri" w:cs="Times New Roman"/>
          <w:sz w:val="32"/>
          <w:szCs w:val="32"/>
        </w:rPr>
        <w:t>示范判决+集约审理+自动履行</w:t>
      </w:r>
      <w:r>
        <w:rPr>
          <w:rFonts w:ascii="仿宋_GB2312" w:eastAsia="仿宋_GB2312" w:hAnsi="Calibri" w:cs="Times New Roman" w:hint="eastAsia"/>
          <w:sz w:val="32"/>
          <w:szCs w:val="32"/>
        </w:rPr>
        <w:t>”</w:t>
      </w:r>
      <w:r>
        <w:rPr>
          <w:rFonts w:ascii="仿宋_GB2312" w:eastAsia="仿宋_GB2312" w:hAnsi="Calibri" w:cs="Times New Roman"/>
          <w:sz w:val="32"/>
          <w:szCs w:val="32"/>
        </w:rPr>
        <w:t>双链条纠纷化解机制</w:t>
      </w:r>
      <w:r>
        <w:rPr>
          <w:rFonts w:ascii="仿宋_GB2312" w:eastAsia="仿宋_GB2312" w:hAnsi="Calibri" w:cs="Times New Roman" w:hint="eastAsia"/>
          <w:sz w:val="32"/>
          <w:szCs w:val="32"/>
        </w:rPr>
        <w:t>，案件平均审理时长大幅缩短，</w:t>
      </w:r>
      <w:r>
        <w:rPr>
          <w:rFonts w:ascii="仿宋_GB2312" w:eastAsia="仿宋_GB2312" w:hAnsi="Calibri" w:cs="Times New Roman"/>
          <w:sz w:val="32"/>
          <w:szCs w:val="32"/>
        </w:rPr>
        <w:t>被写入最高人民法院两会工作报告，获评</w:t>
      </w:r>
      <w:r>
        <w:rPr>
          <w:rFonts w:ascii="仿宋_GB2312" w:eastAsia="仿宋_GB2312" w:hAnsi="Calibri" w:cs="Times New Roman" w:hint="eastAsia"/>
          <w:sz w:val="32"/>
          <w:szCs w:val="32"/>
        </w:rPr>
        <w:t>“</w:t>
      </w:r>
      <w:r>
        <w:rPr>
          <w:rFonts w:ascii="仿宋_GB2312" w:eastAsia="仿宋_GB2312" w:hAnsi="Calibri" w:cs="Times New Roman"/>
          <w:sz w:val="32"/>
          <w:szCs w:val="32"/>
        </w:rPr>
        <w:t>上海金融创新奖</w:t>
      </w:r>
      <w:r>
        <w:rPr>
          <w:rFonts w:ascii="仿宋_GB2312" w:eastAsia="仿宋_GB2312" w:hAnsi="Calibri" w:cs="Times New Roman" w:hint="eastAsia"/>
          <w:sz w:val="32"/>
          <w:szCs w:val="32"/>
        </w:rPr>
        <w:t>”“</w:t>
      </w:r>
      <w:r>
        <w:rPr>
          <w:rFonts w:ascii="仿宋_GB2312" w:eastAsia="仿宋_GB2312" w:hAnsi="Calibri" w:cs="Times New Roman"/>
          <w:sz w:val="32"/>
          <w:szCs w:val="32"/>
        </w:rPr>
        <w:t>上海市法治建设十大优秀案例</w:t>
      </w:r>
      <w:r>
        <w:rPr>
          <w:rFonts w:ascii="仿宋_GB2312" w:eastAsia="仿宋_GB2312" w:hAnsi="Calibri" w:cs="Times New Roman" w:hint="eastAsia"/>
          <w:sz w:val="32"/>
          <w:szCs w:val="32"/>
        </w:rPr>
        <w:t>”</w:t>
      </w:r>
      <w:r>
        <w:rPr>
          <w:rFonts w:ascii="仿宋_GB2312" w:eastAsia="仿宋_GB2312" w:hAnsi="Calibri" w:cs="Times New Roman"/>
          <w:sz w:val="32"/>
          <w:szCs w:val="32"/>
        </w:rPr>
        <w:t>。</w:t>
      </w:r>
      <w:r>
        <w:rPr>
          <w:rFonts w:ascii="仿宋_GB2312" w:eastAsia="仿宋_GB2312" w:hAnsi="Calibri" w:cs="Times New Roman" w:hint="eastAsia"/>
          <w:sz w:val="32"/>
          <w:szCs w:val="32"/>
        </w:rPr>
        <w:t>首次全面实践证券纠纷代表人诉讼机制，制定全国首个代表人诉讼机制实施规定，同步建立代表人诉讼在线平台、证券执行查询专用线路，相关成果为最高人民法院司法解释吸收采纳。首创“1+3+3”专业化审判机制</w:t>
      </w:r>
      <w:r>
        <w:rPr>
          <w:rFonts w:ascii="仿宋_GB2312" w:eastAsia="仿宋_GB2312" w:hAnsi="Calibri" w:cs="Times New Roman"/>
          <w:sz w:val="32"/>
          <w:szCs w:val="32"/>
          <w:vertAlign w:val="superscript"/>
        </w:rPr>
        <w:footnoteReference w:id="10"/>
      </w:r>
      <w:r>
        <w:rPr>
          <w:rFonts w:ascii="仿宋_GB2312" w:eastAsia="仿宋_GB2312" w:hAnsi="Calibri" w:cs="Times New Roman" w:hint="eastAsia"/>
          <w:sz w:val="32"/>
          <w:szCs w:val="32"/>
        </w:rPr>
        <w:t>，最</w:t>
      </w:r>
      <w:r>
        <w:rPr>
          <w:rFonts w:ascii="仿宋_GB2312" w:eastAsia="仿宋_GB2312" w:hAnsi="Calibri" w:cs="Times New Roman" w:hint="eastAsia"/>
          <w:sz w:val="32"/>
          <w:szCs w:val="32"/>
        </w:rPr>
        <w:lastRenderedPageBreak/>
        <w:t>大程度凝聚集体智慧和专家智慧，提升金融审判专业化水平。</w:t>
      </w:r>
      <w:bookmarkStart w:id="15" w:name="_Hlk131756494"/>
      <w:r>
        <w:rPr>
          <w:rFonts w:ascii="仿宋_GB2312" w:eastAsia="仿宋_GB2312" w:hAnsi="Calibri" w:cs="Times New Roman" w:hint="eastAsia"/>
          <w:sz w:val="32"/>
          <w:szCs w:val="32"/>
        </w:rPr>
        <w:t>首创金融案件繁简分流“五分法”多层解纷机制</w:t>
      </w:r>
      <w:bookmarkEnd w:id="15"/>
      <w:r>
        <w:rPr>
          <w:rFonts w:ascii="仿宋_GB2312" w:eastAsia="仿宋_GB2312" w:hAnsi="Calibri" w:cs="Times New Roman" w:hint="eastAsia"/>
          <w:sz w:val="32"/>
          <w:szCs w:val="32"/>
        </w:rPr>
        <w:t>，实施诉调案件专业化调解、平行案件集约化审理、简单案件快速化审理、重大案件精品化审理、普通案件常规化审理的案件分类管理，构建符合金融案件特点的纠纷化解体系。首创金融案件集约分权执行机制，形成集约分组、分权运行、繁简分流、公开透明的执行新模式，受到到最高院批示肯定。首创大宗股票司法协助新机制，开创在证券交易所协助下的大宗股票强制变价新方式，契合证券类资产规律的价格发现机制，充分实现处置价值、效率、便利程度的最大化，衡平保护胜诉原告、上市公司和广大股民的合法权益，获评“上海金融创新奖”。首创批量不动产司法处置新机制，形成“批量委托，分拆竞买，价高优选”的批量不动产司法拍卖新模式，批量集中处置住宅小区4</w:t>
      </w:r>
      <w:r>
        <w:rPr>
          <w:rFonts w:ascii="仿宋_GB2312" w:eastAsia="仿宋_GB2312" w:hAnsi="Calibri" w:cs="Times New Roman"/>
          <w:sz w:val="32"/>
          <w:szCs w:val="32"/>
        </w:rPr>
        <w:t>00</w:t>
      </w:r>
      <w:r>
        <w:rPr>
          <w:rFonts w:ascii="仿宋_GB2312" w:eastAsia="仿宋_GB2312" w:hAnsi="Calibri" w:cs="Times New Roman" w:hint="eastAsia"/>
          <w:sz w:val="32"/>
          <w:szCs w:val="32"/>
        </w:rPr>
        <w:t>余个停车位，化解业主“买不起”和法院“卖不掉”的执行困境，实现司法处置效率与效果的双提升。积极配合最高人民法院起草《关于证券执行若干问题的规定》，首创的证券代表人诉讼机制等相关成果被最高人民法院司法解释吸收采纳，在更大范围内推广执行创新经验。</w:t>
      </w:r>
      <w:r>
        <w:rPr>
          <w:rFonts w:ascii="仿宋_GB2312" w:eastAsia="仿宋_GB2312" w:hAnsi="Calibri" w:cs="Times New Roman" w:hint="eastAsia"/>
          <w:b/>
          <w:bCs/>
          <w:sz w:val="32"/>
          <w:szCs w:val="32"/>
        </w:rPr>
        <w:t>推动数字转型，赋能司法发展，</w:t>
      </w:r>
      <w:r>
        <w:rPr>
          <w:rFonts w:ascii="仿宋_GB2312" w:eastAsia="仿宋_GB2312" w:hAnsi="Calibri" w:cs="Times New Roman" w:hint="eastAsia"/>
          <w:sz w:val="32"/>
          <w:szCs w:val="32"/>
        </w:rPr>
        <w:t>夯实基础环节，畅通全流程网上办案，打通内外网工作壁垒，综合运用“异步审理”“庭审改革”“音字转化”等科技，提供时空连通的全方位司法服</w:t>
      </w:r>
      <w:r>
        <w:rPr>
          <w:rFonts w:ascii="仿宋_GB2312" w:eastAsia="仿宋_GB2312" w:hAnsi="Calibri" w:cs="Times New Roman" w:hint="eastAsia"/>
          <w:sz w:val="32"/>
          <w:szCs w:val="32"/>
        </w:rPr>
        <w:lastRenderedPageBreak/>
        <w:t>务，帮助群众足不出户地化解纠纷；突出金融特色，融合金融司法规律和科技发展规律，打造“智源”金融法律风险司法预警平台</w:t>
      </w:r>
      <w:r>
        <w:rPr>
          <w:rStyle w:val="a7"/>
          <w:rFonts w:ascii="仿宋_GB2312" w:eastAsia="仿宋_GB2312" w:hAnsi="Calibri" w:cs="Times New Roman"/>
          <w:sz w:val="32"/>
          <w:szCs w:val="32"/>
        </w:rPr>
        <w:footnoteReference w:id="11"/>
      </w:r>
      <w:r>
        <w:rPr>
          <w:rFonts w:ascii="仿宋_GB2312" w:eastAsia="仿宋_GB2312" w:hAnsi="Calibri" w:cs="Times New Roman" w:hint="eastAsia"/>
          <w:sz w:val="32"/>
          <w:szCs w:val="32"/>
        </w:rPr>
        <w:t>，分析金融纠纷态势及行业发展情况，实现覆盖银、证、保全行业的风险监测，让司法参与金融治理更精准有效。开发并上线财产执行综合管理系统，依托信息技术真正实现分工负责、相互配合和相互监督，系统试行以来成功处置到位金额超过577.78亿元，被上海市法院执行管理系统借鉴吸纳。与中国证券登记结算有限责任公司上海分公、银行间市场清算所服务有限公司等金融基础设施合作建立股票、基金、债券等司法查控专线，节约了大量司法资源，有效提升了金融类资产执行效率。自主研发上海金融法院中小投资者保护智慧舱</w:t>
      </w:r>
      <w:r>
        <w:rPr>
          <w:rFonts w:ascii="仿宋_GB2312" w:eastAsia="仿宋_GB2312" w:hAnsi="Calibri" w:cs="Times New Roman"/>
          <w:sz w:val="32"/>
          <w:szCs w:val="32"/>
          <w:vertAlign w:val="superscript"/>
        </w:rPr>
        <w:footnoteReference w:id="12"/>
      </w:r>
      <w:r>
        <w:rPr>
          <w:rFonts w:ascii="仿宋_GB2312" w:eastAsia="仿宋_GB2312" w:hAnsi="Calibri" w:cs="Times New Roman" w:hint="eastAsia"/>
          <w:sz w:val="32"/>
          <w:szCs w:val="32"/>
        </w:rPr>
        <w:t>、庭审语音智慧传译系统</w:t>
      </w:r>
      <w:r>
        <w:rPr>
          <w:rFonts w:ascii="仿宋_GB2312" w:eastAsia="仿宋_GB2312" w:hAnsi="Calibri" w:cs="Times New Roman"/>
          <w:sz w:val="32"/>
          <w:szCs w:val="32"/>
          <w:vertAlign w:val="superscript"/>
        </w:rPr>
        <w:footnoteReference w:id="13"/>
      </w:r>
      <w:r>
        <w:rPr>
          <w:rFonts w:ascii="仿宋_GB2312" w:eastAsia="仿宋_GB2312" w:hAnsi="Calibri" w:cs="Times New Roman" w:hint="eastAsia"/>
          <w:sz w:val="32"/>
          <w:szCs w:val="32"/>
        </w:rPr>
        <w:t>等9项高效能金融司法科技产品，以数字正义推动更高水平公平正义。</w:t>
      </w:r>
    </w:p>
    <w:p w:rsidR="00362058" w:rsidRPr="00322682" w:rsidRDefault="004421A7" w:rsidP="00322D46">
      <w:pPr>
        <w:snapToGrid w:val="0"/>
        <w:spacing w:line="600" w:lineRule="exact"/>
        <w:ind w:firstLineChars="200" w:firstLine="640"/>
        <w:rPr>
          <w:rFonts w:ascii="楷体_GB2312" w:eastAsia="楷体_GB2312" w:hAnsi="Calibri" w:cs="Times New Roman"/>
          <w:b/>
          <w:bCs/>
          <w:sz w:val="32"/>
          <w:szCs w:val="32"/>
        </w:rPr>
      </w:pPr>
      <w:r w:rsidRPr="00322682">
        <w:rPr>
          <w:rFonts w:ascii="楷体_GB2312" w:eastAsia="楷体_GB2312" w:hAnsi="Calibri" w:cs="Times New Roman" w:hint="eastAsia"/>
          <w:b/>
          <w:bCs/>
          <w:sz w:val="32"/>
          <w:szCs w:val="32"/>
        </w:rPr>
        <w:t>（二）聚焦服务大局，践行能动司法，着力促进经济社会高质量发展</w:t>
      </w:r>
    </w:p>
    <w:p w:rsidR="00362058" w:rsidRDefault="004421A7" w:rsidP="00322682">
      <w:pPr>
        <w:snapToGrid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紧扣“金融服务实体经济、防控金融风险、深化金融改革”三大任务，</w:t>
      </w:r>
      <w:bookmarkStart w:id="16" w:name="_Hlk139224920"/>
      <w:r>
        <w:rPr>
          <w:rFonts w:ascii="仿宋_GB2312" w:eastAsia="仿宋_GB2312" w:hAnsi="Calibri" w:cs="Times New Roman" w:hint="eastAsia"/>
          <w:sz w:val="32"/>
          <w:szCs w:val="32"/>
        </w:rPr>
        <w:t>服务保障国家金融战略实施，主动融入上海国际金融中心</w:t>
      </w:r>
      <w:r>
        <w:rPr>
          <w:rFonts w:ascii="仿宋_GB2312" w:eastAsia="仿宋_GB2312" w:hAnsi="Calibri" w:cs="Times New Roman" w:hint="eastAsia"/>
          <w:sz w:val="32"/>
          <w:szCs w:val="32"/>
        </w:rPr>
        <w:lastRenderedPageBreak/>
        <w:t>建设战略布局，世界银行专家高度赞扬上海金融法院“有力提升了上海营商环境的国际化、法治化、便利化程度”，</w:t>
      </w:r>
      <w:bookmarkEnd w:id="16"/>
      <w:r>
        <w:rPr>
          <w:rFonts w:ascii="仿宋_GB2312" w:eastAsia="仿宋_GB2312" w:hAnsi="Calibri" w:cs="Times New Roman" w:hint="eastAsia"/>
          <w:sz w:val="32"/>
          <w:szCs w:val="32"/>
        </w:rPr>
        <w:t>并认为“设立上海金融法院是全球法治的最佳实践”。</w:t>
      </w:r>
      <w:r>
        <w:rPr>
          <w:rFonts w:ascii="仿宋_GB2312" w:eastAsia="仿宋_GB2312" w:hAnsi="Calibri" w:cs="Times New Roman" w:hint="eastAsia"/>
          <w:b/>
          <w:bCs/>
          <w:sz w:val="32"/>
          <w:szCs w:val="32"/>
        </w:rPr>
        <w:t>为推动实施国家重大战略提供精准服务，</w:t>
      </w:r>
      <w:r>
        <w:rPr>
          <w:rFonts w:ascii="仿宋_GB2312" w:eastAsia="仿宋_GB2312" w:hAnsi="Calibri" w:cs="Times New Roman" w:hint="eastAsia"/>
          <w:sz w:val="32"/>
          <w:szCs w:val="32"/>
        </w:rPr>
        <w:t>围绕中央交给上海新的三项重大任务，制定《关于服务保障设立科创板并试点注册制改革的实施意见》《服务保障中国（上海）自由贸易试验区临港新片区金融开放与创新发展的若干举措》，高效落实完成</w:t>
      </w:r>
      <w:r>
        <w:rPr>
          <w:rFonts w:ascii="仿宋_GB2312" w:eastAsia="仿宋_GB2312" w:hAnsi="Calibri" w:cs="Times New Roman"/>
          <w:sz w:val="32"/>
          <w:szCs w:val="32"/>
        </w:rPr>
        <w:t>41项保障举措，为上海金融结构性改革和制度型开放提供更具针对性的司法回应</w:t>
      </w:r>
      <w:r>
        <w:rPr>
          <w:rFonts w:ascii="仿宋_GB2312" w:eastAsia="仿宋_GB2312" w:hAnsi="Calibri" w:cs="Times New Roman" w:hint="eastAsia"/>
          <w:sz w:val="32"/>
          <w:szCs w:val="32"/>
        </w:rPr>
        <w:t>；牵头苏浙皖四家中院签署《长三角区域金融司法合作协议》，形成以金融司法协作、疑难案件共同研商、类案问题合作研究、金融审判经验交流以及金融法官培训交流等为特色的合作体系，举办首届长三角金融司法论坛，连续五年举办长三角金融庭长论坛，加强区域适法统一，服务保障长三角一体化高质量发展；建立全国金融审判专业化合作机制，与北京金融法院、成渝金融法院、深圳中院打造跨域司法协同新标杆，以更高水平的裁判规则统一促进全国统一大市场建设；发布“金融市场案例测试机制”</w:t>
      </w:r>
      <w:r>
        <w:rPr>
          <w:rFonts w:ascii="仿宋_GB2312" w:eastAsia="仿宋_GB2312" w:hAnsi="Calibri" w:cs="Times New Roman"/>
          <w:sz w:val="32"/>
          <w:szCs w:val="32"/>
          <w:vertAlign w:val="superscript"/>
        </w:rPr>
        <w:footnoteReference w:id="14"/>
      </w:r>
      <w:r>
        <w:rPr>
          <w:rFonts w:ascii="仿宋_GB2312" w:eastAsia="仿宋_GB2312" w:hAnsi="Calibri" w:cs="Times New Roman" w:hint="eastAsia"/>
          <w:sz w:val="32"/>
          <w:szCs w:val="32"/>
        </w:rPr>
        <w:t>，契合诉源治理和监管沙盒理念，形成与上海金融改革开放相配套的制度体系，被写入浦东新区绿色金融条例。首例金融市场测试案例为金融基础设施业务创新进行全面法律风</w:t>
      </w:r>
      <w:r>
        <w:rPr>
          <w:rFonts w:ascii="仿宋_GB2312" w:eastAsia="仿宋_GB2312" w:hAnsi="Calibri" w:cs="Times New Roman" w:hint="eastAsia"/>
          <w:sz w:val="32"/>
          <w:szCs w:val="32"/>
        </w:rPr>
        <w:lastRenderedPageBreak/>
        <w:t>险压力测试，入选国际中央对手方协会全球年度案例，为内地和香港市场“互换通”项目提供法治支撑，有力促进我国金融市场规则更好与国际接轨。发挥中国审判理论研究会金融审判理论专业委员会秘书处作用，促进理论研究与审判实践深入融合，助力形成中国特色金融法治规则体系。</w:t>
      </w:r>
      <w:r>
        <w:rPr>
          <w:rFonts w:ascii="仿宋_GB2312" w:eastAsia="仿宋_GB2312" w:hAnsi="Calibri" w:cs="Times New Roman" w:hint="eastAsia"/>
          <w:b/>
          <w:bCs/>
          <w:sz w:val="32"/>
          <w:szCs w:val="32"/>
        </w:rPr>
        <w:t>为防范化解金融重大风险提供全面保障，</w:t>
      </w:r>
      <w:r>
        <w:rPr>
          <w:rFonts w:ascii="仿宋_GB2312" w:eastAsia="仿宋_GB2312" w:hAnsi="Calibri" w:cs="Times New Roman" w:hint="eastAsia"/>
          <w:sz w:val="32"/>
          <w:szCs w:val="32"/>
        </w:rPr>
        <w:t>贯彻金融风险精准防控要求，向中国人民银行、国务院国资委、中国证监会等部门发送</w:t>
      </w:r>
      <w:r w:rsidRPr="005D4C9C">
        <w:rPr>
          <w:rFonts w:ascii="仿宋_GB2312" w:eastAsia="仿宋_GB2312" w:hAnsi="Calibri" w:cs="Times New Roman" w:hint="eastAsia"/>
          <w:sz w:val="32"/>
          <w:szCs w:val="32"/>
        </w:rPr>
        <w:t>3</w:t>
      </w:r>
      <w:r w:rsidRPr="005D4C9C">
        <w:rPr>
          <w:rFonts w:ascii="仿宋_GB2312" w:eastAsia="仿宋_GB2312" w:hAnsi="Calibri" w:cs="Times New Roman"/>
          <w:sz w:val="32"/>
          <w:szCs w:val="32"/>
        </w:rPr>
        <w:t>5</w:t>
      </w:r>
      <w:r>
        <w:rPr>
          <w:rFonts w:ascii="仿宋_GB2312" w:eastAsia="仿宋_GB2312" w:hAnsi="Calibri" w:cs="Times New Roman" w:hint="eastAsia"/>
          <w:sz w:val="32"/>
          <w:szCs w:val="32"/>
        </w:rPr>
        <w:t>份司法建议，得到积极采纳，国务院国资委根据上海金融法院司法建议内容，发函全国央企要求建立相关风控长效机制，有效降低我国企业“走出去”过程中的涉外法律风险，为完善金融行政监管、企业合规风控提供司法助力。建立金融纠纷法律风险防范报告年度发布机制，发布《私募基金纠纷法律风险防范报告》《债券纠纷法律风险防范报告》，坚决守住不发生系统性金融风险的底线，其中《私募基金纠纷法律风险防范报告》被写入最高人民法院两会工作报告，对上海市私募基金纠纷数量六年来首次实现回落发挥积极作用。联合沪上10家金融行政监管机构、重要金融基础设施发布“金融司法与金融监管防范化解金融风险协同机制”</w:t>
      </w:r>
      <w:r>
        <w:rPr>
          <w:rFonts w:ascii="仿宋_GB2312" w:eastAsia="仿宋_GB2312" w:hAnsi="Calibri" w:cs="Times New Roman"/>
          <w:sz w:val="32"/>
          <w:szCs w:val="32"/>
          <w:vertAlign w:val="superscript"/>
        </w:rPr>
        <w:footnoteReference w:id="15"/>
      </w:r>
      <w:r>
        <w:rPr>
          <w:rFonts w:ascii="仿宋_GB2312" w:eastAsia="仿宋_GB2312" w:hAnsi="Calibri" w:cs="Times New Roman" w:hint="eastAsia"/>
          <w:sz w:val="32"/>
          <w:szCs w:val="32"/>
        </w:rPr>
        <w:t>，构建信息共享、工作共商、问题共研、风险共防、人才共育的协同善治新格局，创新协同数据库、案例库、专家库三大智</w:t>
      </w:r>
      <w:r>
        <w:rPr>
          <w:rFonts w:ascii="仿宋_GB2312" w:eastAsia="仿宋_GB2312" w:hAnsi="Calibri" w:cs="Times New Roman" w:hint="eastAsia"/>
          <w:sz w:val="32"/>
          <w:szCs w:val="32"/>
        </w:rPr>
        <w:lastRenderedPageBreak/>
        <w:t>库，提升金融司法与金融监管现代化协同新水平，获得金融市场各方的高度肯定和积极响应，收到多份首批成员外金融基础设施的加入申请。</w:t>
      </w:r>
      <w:r>
        <w:rPr>
          <w:rFonts w:ascii="仿宋_GB2312" w:eastAsia="仿宋_GB2312" w:hAnsi="Calibri" w:cs="Times New Roman" w:hint="eastAsia"/>
          <w:b/>
          <w:bCs/>
          <w:sz w:val="32"/>
          <w:szCs w:val="32"/>
        </w:rPr>
        <w:t>为持续深化金融改革开放提供有力支持，</w:t>
      </w:r>
      <w:r>
        <w:rPr>
          <w:rFonts w:ascii="仿宋_GB2312" w:eastAsia="仿宋_GB2312" w:hAnsi="Calibri" w:cs="Times New Roman" w:hint="eastAsia"/>
          <w:sz w:val="32"/>
          <w:szCs w:val="32"/>
        </w:rPr>
        <w:t>全力形成审理公正、程序高效、诉讼便捷、裁判可预期的涉外金融司法保障体系，助力上海成为国际金融纠纷解决的优选地</w:t>
      </w:r>
      <w:r>
        <w:rPr>
          <w:rFonts w:ascii="仿宋_GB2312" w:eastAsia="仿宋_GB2312" w:hAnsi="Calibri" w:cs="Times New Roman" w:hint="eastAsia"/>
          <w:b/>
          <w:bCs/>
          <w:sz w:val="32"/>
          <w:szCs w:val="32"/>
        </w:rPr>
        <w:t>。</w:t>
      </w:r>
      <w:r>
        <w:rPr>
          <w:rFonts w:ascii="仿宋_GB2312" w:eastAsia="仿宋_GB2312" w:hAnsi="Calibri" w:cs="Times New Roman" w:hint="eastAsia"/>
          <w:sz w:val="32"/>
          <w:szCs w:val="32"/>
        </w:rPr>
        <w:t>积极行使涉外金融案件管辖权，拟定并推广中英文“涉外金融交易争议解决及法律适用示范条款”，吸引更多具有规则创设意义和较大国际影响的案件进入中国法院审理，被上海自贸区首单人民币债券发行文件吸纳，来自新加坡、澳大利亚等越来越多境外金融机构及境内非本地企业将上海金融法院约定为纠纷解决管辖法院，有效提升我国对国际金融交易规则的解释权和话语权。持续提高涉外金融审判水平，发布《涉外、涉港澳台金融案件审判指南》及典型案例，通过司法裁判的确定性和权威性，规范涉外金融案件审理标准和程序规则。与专业院校合作完善外国法查明机制，提高查明效率和精度。研发庭审智慧传译系统，通过人工智能等现代科技打破跨地域跨时区阻隔，为中外当事人参与诉讼和境外市场主体了解中国金融司法制度提供便利。不断加强金融司法国际传播，充分发挥中国法院金融审判国际交流（上海）基地作用，与世界银行、上合组织等</w:t>
      </w:r>
      <w:r w:rsidRPr="005D4C9C">
        <w:rPr>
          <w:rFonts w:ascii="仿宋_GB2312" w:eastAsia="仿宋_GB2312" w:hAnsi="Calibri" w:cs="Times New Roman"/>
          <w:sz w:val="32"/>
          <w:szCs w:val="32"/>
        </w:rPr>
        <w:t>5</w:t>
      </w:r>
      <w:r w:rsidRPr="005D4C9C">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多个国家、地区和国际组织代表团对话交流，各代表团对上海金融法院的专业</w:t>
      </w:r>
      <w:r>
        <w:rPr>
          <w:rFonts w:ascii="仿宋_GB2312" w:eastAsia="仿宋_GB2312" w:hAnsi="Calibri" w:cs="Times New Roman" w:hint="eastAsia"/>
          <w:sz w:val="32"/>
          <w:szCs w:val="32"/>
        </w:rPr>
        <w:lastRenderedPageBreak/>
        <w:t>化审判予以高度评价并提出相互交换、共同发布重要金融案件判决等合作建议。举办“外籍人士进金融法院”活动，接待近</w:t>
      </w:r>
      <w:r>
        <w:rPr>
          <w:rFonts w:ascii="仿宋_GB2312" w:eastAsia="仿宋_GB2312" w:hAnsi="Calibri" w:cs="Times New Roman"/>
          <w:sz w:val="32"/>
          <w:szCs w:val="32"/>
        </w:rPr>
        <w:t>60名外籍人士零距离、沉浸式参观，充分展现中国金融司法良好形象，有力提升外商投资的司法安全感和获得感</w:t>
      </w:r>
      <w:r>
        <w:rPr>
          <w:rFonts w:ascii="仿宋_GB2312" w:eastAsia="仿宋_GB2312" w:hAnsi="Calibri" w:cs="Times New Roman" w:hint="eastAsia"/>
          <w:sz w:val="32"/>
          <w:szCs w:val="32"/>
        </w:rPr>
        <w:t>。在知网、威科先行等国际知名法律信息平台发布英文版典型案例及金融审判前沿调研成果，阅读量达</w:t>
      </w:r>
      <w:r w:rsidRPr="005D4C9C">
        <w:rPr>
          <w:rFonts w:ascii="仿宋_GB2312" w:eastAsia="仿宋_GB2312" w:hAnsi="Calibri" w:cs="Times New Roman" w:hint="eastAsia"/>
          <w:sz w:val="32"/>
          <w:szCs w:val="32"/>
        </w:rPr>
        <w:t>50</w:t>
      </w:r>
      <w:r w:rsidRPr="005D4C9C">
        <w:rPr>
          <w:rFonts w:ascii="仿宋_GB2312" w:eastAsia="仿宋_GB2312" w:hAnsi="Calibri" w:cs="Times New Roman"/>
          <w:sz w:val="32"/>
          <w:szCs w:val="32"/>
        </w:rPr>
        <w:t>5</w:t>
      </w:r>
      <w:r w:rsidRPr="005D4C9C">
        <w:rPr>
          <w:rFonts w:ascii="仿宋_GB2312" w:eastAsia="仿宋_GB2312" w:hAnsi="Calibri" w:cs="Times New Roman" w:hint="eastAsia"/>
          <w:sz w:val="32"/>
          <w:szCs w:val="32"/>
        </w:rPr>
        <w:t>.</w:t>
      </w:r>
      <w:r w:rsidRPr="005D4C9C">
        <w:rPr>
          <w:rFonts w:ascii="仿宋_GB2312" w:eastAsia="仿宋_GB2312" w:hAnsi="Calibri" w:cs="Times New Roman"/>
          <w:sz w:val="32"/>
          <w:szCs w:val="32"/>
        </w:rPr>
        <w:t>6</w:t>
      </w:r>
      <w:r>
        <w:rPr>
          <w:rFonts w:ascii="仿宋_GB2312" w:eastAsia="仿宋_GB2312" w:hAnsi="Calibri" w:cs="Times New Roman" w:hint="eastAsia"/>
          <w:sz w:val="32"/>
          <w:szCs w:val="32"/>
        </w:rPr>
        <w:t>万次，域外金融法律专家高度赞扬上海金融法院审结的全国首例证券群体性纠纷示范案件是中国证券诉讼格局演变的重要一步，持续提升我国金融司法的国际公信力与影响力。</w:t>
      </w:r>
    </w:p>
    <w:p w:rsidR="00362058" w:rsidRPr="00322682" w:rsidRDefault="004421A7" w:rsidP="00322D46">
      <w:pPr>
        <w:widowControl/>
        <w:spacing w:line="600" w:lineRule="exact"/>
        <w:ind w:firstLineChars="200" w:firstLine="640"/>
        <w:rPr>
          <w:rFonts w:ascii="楷体_GB2312" w:eastAsia="楷体_GB2312" w:hAnsi="Calibri" w:cs="Times New Roman"/>
          <w:b/>
          <w:bCs/>
          <w:sz w:val="32"/>
          <w:szCs w:val="32"/>
        </w:rPr>
      </w:pPr>
      <w:r w:rsidRPr="00322682">
        <w:rPr>
          <w:rFonts w:ascii="楷体_GB2312" w:eastAsia="楷体_GB2312" w:hAnsi="Calibri" w:cs="Times New Roman" w:hint="eastAsia"/>
          <w:b/>
          <w:bCs/>
          <w:sz w:val="32"/>
          <w:szCs w:val="32"/>
        </w:rPr>
        <w:t>（三）聚焦司法为民，紧扣公正效率，全力保障中小投资者合法权益</w:t>
      </w:r>
    </w:p>
    <w:p w:rsidR="00362058" w:rsidRDefault="004421A7" w:rsidP="00322682">
      <w:pPr>
        <w:widowControl/>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立足我国拥有世界上最大、最活跃个人投资者群体的基本国情，全力维护中小投资者合法权益，落实落细金融司法利民便民举措，不断满足新时期人民群众对金融司法的新期待和新需求。</w:t>
      </w:r>
      <w:r>
        <w:rPr>
          <w:rFonts w:ascii="仿宋_GB2312" w:eastAsia="仿宋_GB2312" w:hAnsi="Calibri" w:cs="Times New Roman" w:hint="eastAsia"/>
          <w:b/>
          <w:bCs/>
          <w:sz w:val="32"/>
          <w:szCs w:val="32"/>
        </w:rPr>
        <w:t>着力构建全球领先的集体诉讼模式，</w:t>
      </w:r>
      <w:r>
        <w:rPr>
          <w:rFonts w:ascii="仿宋_GB2312" w:eastAsia="仿宋_GB2312" w:hAnsi="Calibri" w:cs="Times New Roman" w:hint="eastAsia"/>
          <w:sz w:val="32"/>
          <w:szCs w:val="32"/>
        </w:rPr>
        <w:t>秉承首创精神，</w:t>
      </w:r>
      <w:bookmarkStart w:id="17" w:name="_Hlk139224430"/>
      <w:r>
        <w:rPr>
          <w:rFonts w:ascii="仿宋_GB2312" w:eastAsia="仿宋_GB2312" w:hAnsi="Calibri" w:cs="Times New Roman" w:hint="eastAsia"/>
          <w:sz w:val="32"/>
          <w:szCs w:val="32"/>
        </w:rPr>
        <w:t>针对证券纠纷涉众性、类型化、跨域广的特点，形成以示范判决、代表人诉讼、专业诉调对接为核心的证券纠纷解决系统性方案，审结全国首例证券群体性纠纷示范案件和司法解释出台后全国首例证券普通代表人诉讼案件，公正高效维护中小投资者合法权益。</w:t>
      </w:r>
      <w:bookmarkEnd w:id="17"/>
      <w:r>
        <w:rPr>
          <w:rFonts w:ascii="仿宋_GB2312" w:eastAsia="仿宋_GB2312" w:hAnsi="Calibri" w:cs="Times New Roman" w:hint="eastAsia"/>
          <w:sz w:val="32"/>
          <w:szCs w:val="32"/>
        </w:rPr>
        <w:t>创建全国首个证券账户全</w:t>
      </w:r>
      <w:r>
        <w:rPr>
          <w:rFonts w:ascii="仿宋_GB2312" w:eastAsia="仿宋_GB2312" w:hAnsi="Calibri" w:cs="Times New Roman" w:hint="eastAsia"/>
          <w:sz w:val="32"/>
          <w:szCs w:val="32"/>
        </w:rPr>
        <w:lastRenderedPageBreak/>
        <w:t>循环赔偿款项分配机制</w:t>
      </w:r>
      <w:r>
        <w:rPr>
          <w:rStyle w:val="a7"/>
          <w:rFonts w:ascii="仿宋_GB2312" w:eastAsia="仿宋_GB2312" w:hAnsi="Calibri" w:cs="Times New Roman"/>
          <w:sz w:val="32"/>
          <w:szCs w:val="32"/>
        </w:rPr>
        <w:footnoteReference w:id="16"/>
      </w:r>
      <w:r>
        <w:rPr>
          <w:rFonts w:ascii="仿宋_GB2312" w:eastAsia="仿宋_GB2312" w:hAnsi="Calibri" w:cs="Times New Roman" w:hint="eastAsia"/>
          <w:sz w:val="32"/>
          <w:szCs w:val="32"/>
        </w:rPr>
        <w:t>，通过证券登记结算机构向投资者成功发放1.23亿余元赔偿款，打通中小投资者维权最后一公里。以典型案件为抓手，探索建立</w:t>
      </w:r>
      <w:bookmarkStart w:id="18" w:name="_Hlk139224683"/>
      <w:r>
        <w:rPr>
          <w:rFonts w:ascii="仿宋_GB2312" w:eastAsia="仿宋_GB2312" w:hAnsi="Calibri" w:cs="Times New Roman" w:hint="eastAsia"/>
          <w:sz w:val="32"/>
          <w:szCs w:val="32"/>
        </w:rPr>
        <w:t>证券纠纷民事赔偿责任优先机制、投保机构代位追偿董监高审判机制</w:t>
      </w:r>
      <w:bookmarkEnd w:id="18"/>
      <w:r>
        <w:rPr>
          <w:rFonts w:ascii="仿宋_GB2312" w:eastAsia="仿宋_GB2312" w:hAnsi="Calibri" w:cs="Times New Roman" w:hint="eastAsia"/>
          <w:sz w:val="32"/>
          <w:szCs w:val="32"/>
        </w:rPr>
        <w:t>，推进建设证券纠纷特别代表人诉讼机制及公益诉讼机制，寻求保护中小投资者合法权益的最优解，为发展中国特色的集体诉讼模式提供实践经验。建成全国法院系统首家投资者教育基地及投资者司法保护综合平台，与高校联合建立投资者保护志愿服务站，提供具有司法特色的投资者教育产品和集约高效、透明可视的诉讼服务。</w:t>
      </w:r>
      <w:r>
        <w:rPr>
          <w:rFonts w:ascii="仿宋_GB2312" w:eastAsia="仿宋_GB2312" w:hAnsi="Calibri" w:cs="Times New Roman" w:hint="eastAsia"/>
          <w:b/>
          <w:bCs/>
          <w:sz w:val="32"/>
          <w:szCs w:val="32"/>
        </w:rPr>
        <w:t>倾力打造人民满意的智慧诉服样本，</w:t>
      </w:r>
      <w:r>
        <w:rPr>
          <w:rFonts w:ascii="仿宋_GB2312" w:eastAsia="仿宋_GB2312" w:hAnsi="Calibri" w:cs="Times New Roman" w:hint="eastAsia"/>
          <w:sz w:val="32"/>
          <w:szCs w:val="32"/>
        </w:rPr>
        <w:t>研发智助立案系统，为当事人提供风险评估、业务受理、材料收转、委托鉴定、多元解纷、事务咨询一站式智能化诉讼服务，被欧洲最大的公共广播电视机构——德国电视一台特别报道，</w:t>
      </w:r>
      <w:r>
        <w:rPr>
          <w:rFonts w:ascii="仿宋_GB2312" w:eastAsia="仿宋_GB2312" w:hAnsi="Calibri" w:cs="Times New Roman"/>
          <w:sz w:val="32"/>
          <w:szCs w:val="32"/>
        </w:rPr>
        <w:t>让人民群众</w:t>
      </w:r>
      <w:r>
        <w:rPr>
          <w:rFonts w:ascii="仿宋_GB2312" w:eastAsia="仿宋_GB2312" w:hAnsi="Calibri" w:cs="Times New Roman" w:hint="eastAsia"/>
          <w:sz w:val="32"/>
          <w:szCs w:val="32"/>
        </w:rPr>
        <w:t>“</w:t>
      </w:r>
      <w:r>
        <w:rPr>
          <w:rFonts w:ascii="仿宋_GB2312" w:eastAsia="仿宋_GB2312" w:hAnsi="Calibri" w:cs="Times New Roman"/>
          <w:sz w:val="32"/>
          <w:szCs w:val="32"/>
        </w:rPr>
        <w:t>跑一次</w:t>
      </w:r>
      <w:r>
        <w:rPr>
          <w:rFonts w:ascii="仿宋_GB2312" w:eastAsia="仿宋_GB2312" w:hAnsi="Calibri" w:cs="Times New Roman" w:hint="eastAsia"/>
          <w:sz w:val="32"/>
          <w:szCs w:val="32"/>
        </w:rPr>
        <w:t>”</w:t>
      </w:r>
      <w:r>
        <w:rPr>
          <w:rFonts w:ascii="仿宋_GB2312" w:eastAsia="仿宋_GB2312" w:hAnsi="Calibri" w:cs="Times New Roman"/>
          <w:sz w:val="32"/>
          <w:szCs w:val="32"/>
        </w:rPr>
        <w:t>成为上限，</w:t>
      </w:r>
      <w:r>
        <w:rPr>
          <w:rFonts w:ascii="仿宋_GB2312" w:eastAsia="仿宋_GB2312" w:hAnsi="Calibri" w:cs="Times New Roman" w:hint="eastAsia"/>
          <w:sz w:val="32"/>
          <w:szCs w:val="32"/>
        </w:rPr>
        <w:t>“</w:t>
      </w:r>
      <w:r>
        <w:rPr>
          <w:rFonts w:ascii="仿宋_GB2312" w:eastAsia="仿宋_GB2312" w:hAnsi="Calibri" w:cs="Times New Roman"/>
          <w:sz w:val="32"/>
          <w:szCs w:val="32"/>
        </w:rPr>
        <w:t>不用跑</w:t>
      </w:r>
      <w:r>
        <w:rPr>
          <w:rFonts w:ascii="仿宋_GB2312" w:eastAsia="仿宋_GB2312" w:hAnsi="Calibri" w:cs="Times New Roman" w:hint="eastAsia"/>
          <w:sz w:val="32"/>
          <w:szCs w:val="32"/>
        </w:rPr>
        <w:t>”</w:t>
      </w:r>
      <w:r>
        <w:rPr>
          <w:rFonts w:ascii="仿宋_GB2312" w:eastAsia="仿宋_GB2312" w:hAnsi="Calibri" w:cs="Times New Roman"/>
          <w:sz w:val="32"/>
          <w:szCs w:val="32"/>
        </w:rPr>
        <w:t>变成常态</w:t>
      </w:r>
      <w:r>
        <w:rPr>
          <w:rFonts w:ascii="仿宋_GB2312" w:eastAsia="仿宋_GB2312" w:hAnsi="Calibri" w:cs="Times New Roman" w:hint="eastAsia"/>
          <w:sz w:val="32"/>
          <w:szCs w:val="32"/>
        </w:rPr>
        <w:t>。首创“中小投资者保护智慧舱”，实现自动计算损失金额并实时生成立案信息，为中小投资者提供无纸化、一站式、交互型诉讼服务，相关功能被应用</w:t>
      </w:r>
      <w:r>
        <w:rPr>
          <w:rFonts w:ascii="仿宋_GB2312" w:eastAsia="仿宋_GB2312" w:hAnsi="Calibri" w:cs="Times New Roman"/>
          <w:sz w:val="32"/>
          <w:szCs w:val="32"/>
        </w:rPr>
        <w:t>9,124次，</w:t>
      </w:r>
      <w:r>
        <w:rPr>
          <w:rFonts w:ascii="仿宋_GB2312" w:eastAsia="仿宋_GB2312" w:hAnsi="Calibri" w:cs="Times New Roman" w:hint="eastAsia"/>
          <w:sz w:val="32"/>
          <w:szCs w:val="32"/>
        </w:rPr>
        <w:t>被《中国金融消费者保护报告》评为“金融消费者保护十佳案例”，</w:t>
      </w:r>
      <w:r>
        <w:rPr>
          <w:rFonts w:ascii="仿宋_GB2312" w:eastAsia="仿宋_GB2312" w:hAnsi="Calibri" w:cs="Times New Roman"/>
          <w:sz w:val="32"/>
          <w:szCs w:val="32"/>
        </w:rPr>
        <w:t>成为符合世界银行营商环境评估</w:t>
      </w:r>
      <w:r>
        <w:rPr>
          <w:rFonts w:ascii="仿宋_GB2312" w:eastAsia="仿宋_GB2312" w:hAnsi="Calibri" w:cs="Times New Roman" w:hint="eastAsia"/>
          <w:sz w:val="32"/>
          <w:szCs w:val="32"/>
        </w:rPr>
        <w:t>“</w:t>
      </w:r>
      <w:r>
        <w:rPr>
          <w:rFonts w:ascii="仿宋_GB2312" w:eastAsia="仿宋_GB2312" w:hAnsi="Calibri" w:cs="Times New Roman"/>
          <w:sz w:val="32"/>
          <w:szCs w:val="32"/>
        </w:rPr>
        <w:t>减流程、减环节、降费用</w:t>
      </w:r>
      <w:r>
        <w:rPr>
          <w:rFonts w:ascii="仿宋_GB2312" w:eastAsia="仿宋_GB2312" w:hAnsi="Calibri" w:cs="Times New Roman" w:hint="eastAsia"/>
          <w:sz w:val="32"/>
          <w:szCs w:val="32"/>
        </w:rPr>
        <w:t>”</w:t>
      </w:r>
      <w:r>
        <w:rPr>
          <w:rFonts w:ascii="仿宋_GB2312" w:eastAsia="仿宋_GB2312" w:hAnsi="Calibri" w:cs="Times New Roman"/>
          <w:sz w:val="32"/>
          <w:szCs w:val="32"/>
        </w:rPr>
        <w:t>方法论的实践样本</w:t>
      </w:r>
      <w:r>
        <w:rPr>
          <w:rFonts w:ascii="仿宋_GB2312" w:eastAsia="仿宋_GB2312" w:hAnsi="Calibri" w:cs="Times New Roman" w:hint="eastAsia"/>
          <w:sz w:val="32"/>
          <w:szCs w:val="32"/>
        </w:rPr>
        <w:t>。</w:t>
      </w:r>
      <w:r>
        <w:rPr>
          <w:rFonts w:ascii="仿宋_GB2312" w:eastAsia="仿宋_GB2312" w:hAnsi="Calibri" w:cs="Times New Roman" w:hint="eastAsia"/>
          <w:b/>
          <w:bCs/>
          <w:sz w:val="32"/>
          <w:szCs w:val="32"/>
        </w:rPr>
        <w:t>大力创新中国特色的多元解纷体系，</w:t>
      </w:r>
      <w:r>
        <w:rPr>
          <w:rFonts w:ascii="仿宋_GB2312" w:eastAsia="仿宋_GB2312" w:hAnsi="Calibri" w:cs="Times New Roman" w:hint="eastAsia"/>
          <w:sz w:val="32"/>
          <w:szCs w:val="32"/>
        </w:rPr>
        <w:t>突出专业化、</w:t>
      </w:r>
      <w:r>
        <w:rPr>
          <w:rFonts w:ascii="仿宋_GB2312" w:eastAsia="仿宋_GB2312" w:hAnsi="Calibri" w:cs="Times New Roman" w:hint="eastAsia"/>
          <w:sz w:val="32"/>
          <w:szCs w:val="32"/>
        </w:rPr>
        <w:lastRenderedPageBreak/>
        <w:t>协同化、智能化特色，坚持系统整合、高效便民，创建金融行业全覆盖、平台服务全线上、“示范判决</w:t>
      </w:r>
      <w:r>
        <w:rPr>
          <w:rFonts w:ascii="仿宋_GB2312" w:eastAsia="仿宋_GB2312" w:hAnsi="Calibri" w:cs="Times New Roman"/>
          <w:sz w:val="32"/>
          <w:szCs w:val="32"/>
        </w:rPr>
        <w:t>+专业调解+司法确认</w:t>
      </w:r>
      <w:r>
        <w:rPr>
          <w:rFonts w:ascii="仿宋_GB2312" w:eastAsia="仿宋_GB2312" w:hAnsi="Calibri" w:cs="Times New Roman" w:hint="eastAsia"/>
          <w:sz w:val="32"/>
          <w:szCs w:val="32"/>
        </w:rPr>
        <w:t>”</w:t>
      </w:r>
      <w:r>
        <w:rPr>
          <w:rFonts w:ascii="仿宋_GB2312" w:eastAsia="仿宋_GB2312" w:hAnsi="Calibri" w:cs="Times New Roman"/>
          <w:sz w:val="32"/>
          <w:szCs w:val="32"/>
        </w:rPr>
        <w:t>全链条、委托调解到协议履行全周期的金融纠纷诉调对接机制</w:t>
      </w:r>
      <w:r>
        <w:rPr>
          <w:rFonts w:ascii="仿宋_GB2312" w:eastAsia="仿宋_GB2312" w:hAnsi="Calibri" w:cs="Times New Roman" w:hint="eastAsia"/>
          <w:sz w:val="32"/>
          <w:szCs w:val="32"/>
        </w:rPr>
        <w:t>。</w:t>
      </w:r>
      <w:r>
        <w:rPr>
          <w:rFonts w:ascii="仿宋_GB2312" w:eastAsia="仿宋_GB2312" w:hAnsi="Calibri" w:cs="Times New Roman"/>
          <w:sz w:val="32"/>
          <w:szCs w:val="32"/>
        </w:rPr>
        <w:t>全国首例示范判决案件</w:t>
      </w:r>
      <w:r>
        <w:rPr>
          <w:rFonts w:ascii="仿宋_GB2312" w:eastAsia="仿宋_GB2312" w:hAnsi="Calibri" w:cs="Times New Roman" w:hint="eastAsia"/>
          <w:sz w:val="32"/>
          <w:szCs w:val="32"/>
        </w:rPr>
        <w:t>作出后，平行案件</w:t>
      </w:r>
      <w:r>
        <w:rPr>
          <w:rFonts w:ascii="仿宋_GB2312" w:eastAsia="仿宋_GB2312" w:hAnsi="Calibri" w:cs="Times New Roman"/>
          <w:sz w:val="32"/>
          <w:szCs w:val="32"/>
        </w:rPr>
        <w:t>调撤率达99.64%，3</w:t>
      </w:r>
      <w:r>
        <w:rPr>
          <w:rFonts w:ascii="仿宋_GB2312" w:eastAsia="仿宋_GB2312" w:hAnsi="Calibri" w:cs="Times New Roman" w:hint="eastAsia"/>
          <w:sz w:val="32"/>
          <w:szCs w:val="32"/>
        </w:rPr>
        <w:t>,</w:t>
      </w:r>
      <w:r>
        <w:rPr>
          <w:rFonts w:ascii="仿宋_GB2312" w:eastAsia="仿宋_GB2312" w:hAnsi="Calibri" w:cs="Times New Roman"/>
          <w:sz w:val="32"/>
          <w:szCs w:val="32"/>
        </w:rPr>
        <w:t>045</w:t>
      </w:r>
      <w:r>
        <w:rPr>
          <w:rFonts w:ascii="仿宋_GB2312" w:eastAsia="仿宋_GB2312" w:hAnsi="Calibri" w:cs="Times New Roman" w:hint="eastAsia"/>
          <w:sz w:val="32"/>
          <w:szCs w:val="32"/>
        </w:rPr>
        <w:t>名中小投资者通过撤诉、调解的方式化解纠纷，</w:t>
      </w:r>
      <w:r>
        <w:rPr>
          <w:rFonts w:ascii="仿宋_GB2312" w:eastAsia="仿宋_GB2312" w:hAnsi="Calibri" w:cs="Times New Roman"/>
          <w:sz w:val="32"/>
          <w:szCs w:val="32"/>
        </w:rPr>
        <w:t>有效节约司法资源和社会成本。坚持统筹资源、多维联动，</w:t>
      </w:r>
      <w:r>
        <w:rPr>
          <w:rFonts w:ascii="仿宋_GB2312" w:eastAsia="仿宋_GB2312" w:hAnsi="Calibri" w:cs="Times New Roman" w:hint="eastAsia"/>
          <w:sz w:val="32"/>
          <w:szCs w:val="32"/>
        </w:rPr>
        <w:t>率先提出并推动上海证券交易所将证券纠纷多元化解纳入其股票上市规则，建立上市公司、金融机构概括性先行调解承诺机制，</w:t>
      </w:r>
      <w:r>
        <w:rPr>
          <w:rFonts w:ascii="仿宋_GB2312" w:eastAsia="仿宋_GB2312" w:hAnsi="Calibri" w:cs="Times New Roman"/>
          <w:sz w:val="32"/>
          <w:szCs w:val="32"/>
        </w:rPr>
        <w:t>运行以来促成18家金融机构作出承诺，同意对起诉至上海金融法院的所有案件在立案前先行调解</w:t>
      </w:r>
      <w:r>
        <w:rPr>
          <w:rFonts w:ascii="仿宋_GB2312" w:eastAsia="仿宋_GB2312" w:hAnsi="Calibri" w:cs="Times New Roman" w:hint="eastAsia"/>
          <w:sz w:val="32"/>
          <w:szCs w:val="32"/>
        </w:rPr>
        <w:t>，</w:t>
      </w:r>
      <w:r>
        <w:rPr>
          <w:rFonts w:ascii="仿宋_GB2312" w:eastAsia="仿宋_GB2312" w:hAnsi="Calibri" w:cs="Times New Roman"/>
          <w:sz w:val="32"/>
          <w:szCs w:val="32"/>
        </w:rPr>
        <w:t>从源头上减少诉讼增量，维护证券市场规范</w:t>
      </w:r>
      <w:r>
        <w:rPr>
          <w:rFonts w:ascii="仿宋_GB2312" w:eastAsia="仿宋_GB2312" w:hAnsi="Calibri" w:cs="Times New Roman" w:hint="eastAsia"/>
          <w:sz w:val="32"/>
          <w:szCs w:val="32"/>
        </w:rPr>
        <w:t>和谐发展。</w:t>
      </w:r>
    </w:p>
    <w:p w:rsidR="00362058" w:rsidRDefault="004421A7" w:rsidP="00322682">
      <w:pPr>
        <w:snapToGrid w:val="0"/>
        <w:spacing w:line="600" w:lineRule="exact"/>
        <w:ind w:firstLineChars="200" w:firstLine="640"/>
        <w:rPr>
          <w:rFonts w:ascii="仿宋" w:eastAsia="仿宋" w:hAnsi="仿宋" w:cs="宋体"/>
          <w:sz w:val="32"/>
          <w:szCs w:val="32"/>
        </w:rPr>
      </w:pPr>
      <w:r>
        <w:rPr>
          <w:rFonts w:ascii="仿宋_GB2312" w:eastAsia="仿宋_GB2312" w:hAnsi="Calibri" w:cs="Times New Roman" w:hint="eastAsia"/>
          <w:sz w:val="32"/>
          <w:szCs w:val="32"/>
        </w:rPr>
        <w:t>新征程上，上海金融法院将继续坚持以习近平新时代中国特色社会主义思想为指导，团结协作、勇于创新、开拓进取，努力实现法院高质量发展，全力服务国家金融战略实施和上海国际金融中心建设，推动上海建设国际金融司法中心，切实满足人民群众多样化的金融司法需求，为中国式现代化建设提供更高水平的金融司法保障。</w:t>
      </w:r>
    </w:p>
    <w:sectPr w:rsidR="00362058" w:rsidSect="00322682">
      <w:footerReference w:type="even" r:id="rId22"/>
      <w:footerReference w:type="default" r:id="rId23"/>
      <w:pgSz w:w="12240" w:h="15840"/>
      <w:pgMar w:top="2098" w:right="1474" w:bottom="1985" w:left="1588" w:header="720" w:footer="720" w:gutter="0"/>
      <w:pgNumType w:fmt="numberInDash"/>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BD" w:rsidRDefault="00ED6DBD">
      <w:r>
        <w:separator/>
      </w:r>
    </w:p>
  </w:endnote>
  <w:endnote w:type="continuationSeparator" w:id="1">
    <w:p w:rsidR="00ED6DBD" w:rsidRDefault="00ED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汉鼎简老宋">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7348912"/>
      <w:docPartObj>
        <w:docPartGallery w:val="Page Numbers (Bottom of Page)"/>
        <w:docPartUnique/>
      </w:docPartObj>
    </w:sdtPr>
    <w:sdtContent>
      <w:p w:rsidR="00322682" w:rsidRPr="00322682" w:rsidRDefault="00C433BF">
        <w:pPr>
          <w:pStyle w:val="a4"/>
          <w:rPr>
            <w:rFonts w:asciiTheme="minorEastAsia" w:hAnsiTheme="minorEastAsia"/>
            <w:sz w:val="28"/>
            <w:szCs w:val="28"/>
          </w:rPr>
        </w:pPr>
        <w:r w:rsidRPr="00322682">
          <w:rPr>
            <w:rFonts w:asciiTheme="minorEastAsia" w:hAnsiTheme="minorEastAsia"/>
            <w:sz w:val="28"/>
            <w:szCs w:val="28"/>
          </w:rPr>
          <w:fldChar w:fldCharType="begin"/>
        </w:r>
        <w:r w:rsidR="00322682" w:rsidRPr="00322682">
          <w:rPr>
            <w:rFonts w:asciiTheme="minorEastAsia" w:hAnsiTheme="minorEastAsia"/>
            <w:sz w:val="28"/>
            <w:szCs w:val="28"/>
          </w:rPr>
          <w:instrText xml:space="preserve"> PAGE   \* MERGEFORMAT </w:instrText>
        </w:r>
        <w:r w:rsidRPr="00322682">
          <w:rPr>
            <w:rFonts w:asciiTheme="minorEastAsia" w:hAnsiTheme="minorEastAsia"/>
            <w:sz w:val="28"/>
            <w:szCs w:val="28"/>
          </w:rPr>
          <w:fldChar w:fldCharType="separate"/>
        </w:r>
        <w:r w:rsidR="00322D46" w:rsidRPr="00322D46">
          <w:rPr>
            <w:rFonts w:asciiTheme="minorEastAsia" w:hAnsiTheme="minorEastAsia"/>
            <w:noProof/>
            <w:sz w:val="28"/>
            <w:szCs w:val="28"/>
            <w:lang w:val="zh-CN"/>
          </w:rPr>
          <w:t>-</w:t>
        </w:r>
        <w:r w:rsidR="00322D46">
          <w:rPr>
            <w:rFonts w:asciiTheme="minorEastAsia" w:hAnsiTheme="minorEastAsia"/>
            <w:noProof/>
            <w:sz w:val="28"/>
            <w:szCs w:val="28"/>
          </w:rPr>
          <w:t xml:space="preserve"> 26 -</w:t>
        </w:r>
        <w:r w:rsidRPr="00322682">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7348911"/>
      <w:docPartObj>
        <w:docPartGallery w:val="Page Numbers (Bottom of Page)"/>
        <w:docPartUnique/>
      </w:docPartObj>
    </w:sdtPr>
    <w:sdtContent>
      <w:p w:rsidR="00322682" w:rsidRPr="00322682" w:rsidRDefault="00C433BF">
        <w:pPr>
          <w:pStyle w:val="a4"/>
          <w:jc w:val="right"/>
          <w:rPr>
            <w:rFonts w:asciiTheme="minorEastAsia" w:hAnsiTheme="minorEastAsia"/>
            <w:sz w:val="28"/>
            <w:szCs w:val="28"/>
          </w:rPr>
        </w:pPr>
        <w:r w:rsidRPr="00322682">
          <w:rPr>
            <w:rFonts w:asciiTheme="minorEastAsia" w:hAnsiTheme="minorEastAsia"/>
            <w:sz w:val="28"/>
            <w:szCs w:val="28"/>
          </w:rPr>
          <w:fldChar w:fldCharType="begin"/>
        </w:r>
        <w:r w:rsidR="00322682" w:rsidRPr="00322682">
          <w:rPr>
            <w:rFonts w:asciiTheme="minorEastAsia" w:hAnsiTheme="minorEastAsia"/>
            <w:sz w:val="28"/>
            <w:szCs w:val="28"/>
          </w:rPr>
          <w:instrText xml:space="preserve"> PAGE   \* MERGEFORMAT </w:instrText>
        </w:r>
        <w:r w:rsidRPr="00322682">
          <w:rPr>
            <w:rFonts w:asciiTheme="minorEastAsia" w:hAnsiTheme="minorEastAsia"/>
            <w:sz w:val="28"/>
            <w:szCs w:val="28"/>
          </w:rPr>
          <w:fldChar w:fldCharType="separate"/>
        </w:r>
        <w:r w:rsidR="00322D46" w:rsidRPr="00322D46">
          <w:rPr>
            <w:rFonts w:asciiTheme="minorEastAsia" w:hAnsiTheme="minorEastAsia"/>
            <w:noProof/>
            <w:sz w:val="28"/>
            <w:szCs w:val="28"/>
            <w:lang w:val="zh-CN"/>
          </w:rPr>
          <w:t>-</w:t>
        </w:r>
        <w:r w:rsidR="00322D46">
          <w:rPr>
            <w:rFonts w:asciiTheme="minorEastAsia" w:hAnsiTheme="minorEastAsia"/>
            <w:noProof/>
            <w:sz w:val="28"/>
            <w:szCs w:val="28"/>
          </w:rPr>
          <w:t xml:space="preserve"> 25 -</w:t>
        </w:r>
        <w:r w:rsidRPr="00322682">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BD" w:rsidRDefault="00ED6DBD">
      <w:r>
        <w:separator/>
      </w:r>
    </w:p>
  </w:footnote>
  <w:footnote w:type="continuationSeparator" w:id="1">
    <w:p w:rsidR="00ED6DBD" w:rsidRDefault="00ED6DBD">
      <w:r>
        <w:continuationSeparator/>
      </w:r>
    </w:p>
  </w:footnote>
  <w:footnote w:id="2">
    <w:p w:rsidR="00362058" w:rsidRPr="005D4C9C" w:rsidRDefault="004421A7">
      <w:pPr>
        <w:snapToGrid w:val="0"/>
        <w:jc w:val="left"/>
        <w:rPr>
          <w:sz w:val="18"/>
        </w:rPr>
      </w:pPr>
      <w:r>
        <w:rPr>
          <w:rFonts w:ascii="Times New Roman" w:eastAsia="宋体" w:hAnsi="Times New Roman" w:cs="Times New Roman"/>
          <w:sz w:val="18"/>
          <w:szCs w:val="18"/>
          <w:vertAlign w:val="superscript"/>
        </w:rPr>
        <w:footnoteRef/>
      </w:r>
      <w:r>
        <w:rPr>
          <w:rFonts w:ascii="Calibri" w:eastAsia="宋体" w:hAnsi="Calibri" w:cs="Times New Roman"/>
          <w:sz w:val="18"/>
          <w:szCs w:val="18"/>
        </w:rPr>
        <w:t xml:space="preserve"> </w:t>
      </w:r>
      <w:r w:rsidRPr="005D4C9C">
        <w:rPr>
          <w:rFonts w:hint="eastAsia"/>
          <w:sz w:val="18"/>
        </w:rPr>
        <w:t>该收案数包含执恢、执保、诉前调书、诉前调确字号案件。</w:t>
      </w:r>
      <w:r w:rsidRPr="005D4C9C">
        <w:rPr>
          <w:rFonts w:hint="eastAsia"/>
          <w:sz w:val="18"/>
        </w:rPr>
        <w:t>2021</w:t>
      </w:r>
      <w:r w:rsidRPr="005D4C9C">
        <w:rPr>
          <w:rFonts w:hint="eastAsia"/>
          <w:sz w:val="18"/>
        </w:rPr>
        <w:t>年后根据最高人民法院司法统计口径调整不再含上述四类案件，</w:t>
      </w:r>
      <w:bookmarkStart w:id="0" w:name="_Hlk143431017"/>
      <w:r w:rsidRPr="005D4C9C">
        <w:rPr>
          <w:rFonts w:hint="eastAsia"/>
          <w:sz w:val="18"/>
        </w:rPr>
        <w:t>按调整后口径统计收案数为</w:t>
      </w:r>
      <w:bookmarkEnd w:id="0"/>
      <w:r w:rsidRPr="005D4C9C">
        <w:rPr>
          <w:rFonts w:hint="eastAsia"/>
          <w:sz w:val="18"/>
        </w:rPr>
        <w:t>38,634</w:t>
      </w:r>
      <w:r w:rsidRPr="005D4C9C">
        <w:rPr>
          <w:rFonts w:hint="eastAsia"/>
          <w:sz w:val="18"/>
        </w:rPr>
        <w:t>件，后文收案数统计以调整后口径为准。除特别指明外，本通报数据统计期间均为</w:t>
      </w:r>
      <w:r w:rsidRPr="005D4C9C">
        <w:rPr>
          <w:rFonts w:hint="eastAsia"/>
          <w:sz w:val="18"/>
        </w:rPr>
        <w:t>2018</w:t>
      </w:r>
      <w:r w:rsidRPr="005D4C9C">
        <w:rPr>
          <w:rFonts w:hint="eastAsia"/>
          <w:sz w:val="18"/>
        </w:rPr>
        <w:t>年</w:t>
      </w:r>
      <w:r w:rsidRPr="005D4C9C">
        <w:rPr>
          <w:rFonts w:hint="eastAsia"/>
          <w:sz w:val="18"/>
        </w:rPr>
        <w:t>8</w:t>
      </w:r>
      <w:r w:rsidRPr="005D4C9C">
        <w:rPr>
          <w:rFonts w:hint="eastAsia"/>
          <w:sz w:val="18"/>
        </w:rPr>
        <w:t>月</w:t>
      </w:r>
      <w:r w:rsidRPr="005D4C9C">
        <w:rPr>
          <w:rFonts w:hint="eastAsia"/>
          <w:sz w:val="18"/>
        </w:rPr>
        <w:t>20</w:t>
      </w:r>
      <w:r w:rsidRPr="005D4C9C">
        <w:rPr>
          <w:rFonts w:hint="eastAsia"/>
          <w:sz w:val="18"/>
        </w:rPr>
        <w:t>日至</w:t>
      </w:r>
      <w:r w:rsidRPr="005D4C9C">
        <w:rPr>
          <w:rFonts w:hint="eastAsia"/>
          <w:sz w:val="18"/>
        </w:rPr>
        <w:t>2023</w:t>
      </w:r>
      <w:r w:rsidRPr="005D4C9C">
        <w:rPr>
          <w:rFonts w:hint="eastAsia"/>
          <w:sz w:val="18"/>
        </w:rPr>
        <w:t>年</w:t>
      </w:r>
      <w:r w:rsidRPr="005D4C9C">
        <w:rPr>
          <w:rFonts w:hint="eastAsia"/>
          <w:sz w:val="18"/>
        </w:rPr>
        <w:t>8</w:t>
      </w:r>
      <w:r w:rsidRPr="005D4C9C">
        <w:rPr>
          <w:rFonts w:hint="eastAsia"/>
          <w:sz w:val="18"/>
        </w:rPr>
        <w:t>月</w:t>
      </w:r>
      <w:r w:rsidRPr="005D4C9C">
        <w:rPr>
          <w:rFonts w:hint="eastAsia"/>
          <w:sz w:val="18"/>
        </w:rPr>
        <w:t>19</w:t>
      </w:r>
      <w:r w:rsidRPr="005D4C9C">
        <w:rPr>
          <w:rFonts w:hint="eastAsia"/>
          <w:sz w:val="18"/>
        </w:rPr>
        <w:t>日。</w:t>
      </w:r>
    </w:p>
  </w:footnote>
  <w:footnote w:id="3">
    <w:p w:rsidR="00362058" w:rsidRDefault="004421A7">
      <w:pPr>
        <w:pStyle w:val="a6"/>
      </w:pPr>
      <w:r w:rsidRPr="005D4C9C">
        <w:footnoteRef/>
      </w:r>
      <w:r>
        <w:t xml:space="preserve"> </w:t>
      </w:r>
      <w:r>
        <w:rPr>
          <w:rFonts w:hint="eastAsia"/>
        </w:rPr>
        <w:t>本通报中的年度系指每年</w:t>
      </w:r>
      <w:r>
        <w:rPr>
          <w:rFonts w:hint="eastAsia"/>
        </w:rPr>
        <w:t>8</w:t>
      </w:r>
      <w:r>
        <w:rPr>
          <w:rFonts w:hint="eastAsia"/>
        </w:rPr>
        <w:t>月</w:t>
      </w:r>
      <w:r>
        <w:rPr>
          <w:rFonts w:hint="eastAsia"/>
        </w:rPr>
        <w:t>20</w:t>
      </w:r>
      <w:r>
        <w:rPr>
          <w:rFonts w:hint="eastAsia"/>
        </w:rPr>
        <w:t>日至次年</w:t>
      </w:r>
      <w:r>
        <w:rPr>
          <w:rFonts w:hint="eastAsia"/>
        </w:rPr>
        <w:t>8</w:t>
      </w:r>
      <w:r>
        <w:rPr>
          <w:rFonts w:hint="eastAsia"/>
        </w:rPr>
        <w:t>月</w:t>
      </w:r>
      <w:r>
        <w:rPr>
          <w:rFonts w:hint="eastAsia"/>
        </w:rPr>
        <w:t>19</w:t>
      </w:r>
      <w:r>
        <w:rPr>
          <w:rFonts w:hint="eastAsia"/>
        </w:rPr>
        <w:t>日。</w:t>
      </w:r>
    </w:p>
  </w:footnote>
  <w:footnote w:id="4">
    <w:p w:rsidR="00362058" w:rsidRDefault="004421A7">
      <w:pPr>
        <w:pStyle w:val="a6"/>
      </w:pPr>
      <w:r w:rsidRPr="005D4C9C">
        <w:footnoteRef/>
      </w:r>
      <w:r>
        <w:t xml:space="preserve"> </w:t>
      </w:r>
      <w:r w:rsidRPr="005D4C9C">
        <w:rPr>
          <w:rFonts w:hint="eastAsia"/>
        </w:rPr>
        <w:t>该结案数包含执恢、执保、诉前调书、诉前调确字号案件。</w:t>
      </w:r>
      <w:r w:rsidRPr="005D4C9C">
        <w:rPr>
          <w:rFonts w:hint="eastAsia"/>
        </w:rPr>
        <w:t>2021</w:t>
      </w:r>
      <w:r w:rsidRPr="005D4C9C">
        <w:rPr>
          <w:rFonts w:hint="eastAsia"/>
        </w:rPr>
        <w:t>年后根据最高人民法院司法统计口径调整不再含上述四类案件，按调整后口径统计收案数为</w:t>
      </w:r>
      <w:r w:rsidRPr="005D4C9C">
        <w:rPr>
          <w:rFonts w:hint="eastAsia"/>
        </w:rPr>
        <w:t>3</w:t>
      </w:r>
      <w:r w:rsidRPr="005D4C9C">
        <w:t>7</w:t>
      </w:r>
      <w:r w:rsidRPr="005D4C9C">
        <w:rPr>
          <w:rFonts w:hint="eastAsia"/>
        </w:rPr>
        <w:t>,</w:t>
      </w:r>
      <w:r w:rsidRPr="005D4C9C">
        <w:t>240</w:t>
      </w:r>
      <w:r w:rsidRPr="005D4C9C">
        <w:rPr>
          <w:rFonts w:hint="eastAsia"/>
        </w:rPr>
        <w:t>件，后文收案数统计以调整后口径为准。</w:t>
      </w:r>
    </w:p>
  </w:footnote>
  <w:footnote w:id="5">
    <w:p w:rsidR="00362058" w:rsidRDefault="004421A7">
      <w:pPr>
        <w:pStyle w:val="a6"/>
      </w:pPr>
      <w:r w:rsidRPr="005D4C9C">
        <w:rPr>
          <w:rStyle w:val="a7"/>
        </w:rPr>
        <w:footnoteRef/>
      </w:r>
      <w:r w:rsidRPr="005D4C9C">
        <w:t xml:space="preserve"> </w:t>
      </w:r>
      <w:r w:rsidRPr="005D4C9C">
        <w:rPr>
          <w:rFonts w:hint="eastAsia"/>
        </w:rPr>
        <w:t>该收案总标的额包含执恢、执保、诉前调书、诉前调确字号收案标的额。</w:t>
      </w:r>
      <w:r w:rsidRPr="005D4C9C">
        <w:rPr>
          <w:rFonts w:hint="eastAsia"/>
        </w:rPr>
        <w:t>2021</w:t>
      </w:r>
      <w:r w:rsidRPr="005D4C9C">
        <w:rPr>
          <w:rFonts w:hint="eastAsia"/>
        </w:rPr>
        <w:t>年后根据最高人民法院司法统计口径调整不再含上述四类案件，按调整后口径统计收案总标的额为</w:t>
      </w:r>
      <w:r w:rsidRPr="005D4C9C">
        <w:t>10,274.82</w:t>
      </w:r>
      <w:r w:rsidRPr="005D4C9C">
        <w:rPr>
          <w:rFonts w:hint="eastAsia"/>
        </w:rPr>
        <w:t>亿元，后文收案标的额统计以调整后口径为准。</w:t>
      </w:r>
    </w:p>
  </w:footnote>
  <w:footnote w:id="6">
    <w:p w:rsidR="00362058" w:rsidRDefault="004421A7">
      <w:pPr>
        <w:snapToGrid w:val="0"/>
        <w:ind w:firstLineChars="200"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18"/>
          <w:vertAlign w:val="superscript"/>
        </w:rPr>
        <w:footnoteRef/>
      </w:r>
      <w:r>
        <w:rPr>
          <w:rFonts w:ascii="Times New Roman" w:eastAsia="宋体" w:hAnsi="Times New Roman" w:cs="Times New Roman"/>
          <w:kern w:val="0"/>
          <w:sz w:val="18"/>
          <w:szCs w:val="18"/>
        </w:rPr>
        <w:t xml:space="preserve"> </w:t>
      </w:r>
      <w:r>
        <w:rPr>
          <w:rFonts w:ascii="Times New Roman" w:eastAsia="宋体" w:hAnsi="Times New Roman" w:cs="Times New Roman" w:hint="eastAsia"/>
          <w:kern w:val="0"/>
          <w:sz w:val="18"/>
          <w:szCs w:val="18"/>
        </w:rPr>
        <w:t>执行到位金额，是指经强制扣划、变价以及被执行人主动向人民法院支付等通过执行案款管理系统向申请执行人实际发放的金额，不包括被执行人未通过人民法院而直接向申请执行人支付的金额以及执行当事人达成和解协议未实际履行到位的金额等。</w:t>
      </w:r>
    </w:p>
  </w:footnote>
  <w:footnote w:id="7">
    <w:p w:rsidR="00362058" w:rsidRDefault="004421A7">
      <w:pPr>
        <w:pStyle w:val="a6"/>
      </w:pPr>
      <w:r>
        <w:rPr>
          <w:rStyle w:val="a7"/>
        </w:rPr>
        <w:footnoteRef/>
      </w:r>
      <w:r>
        <w:t xml:space="preserve"> </w:t>
      </w:r>
      <w:r>
        <w:rPr>
          <w:rFonts w:hint="eastAsia"/>
        </w:rPr>
        <w:t>案由数据统计不含执行案件。</w:t>
      </w:r>
    </w:p>
  </w:footnote>
  <w:footnote w:id="8">
    <w:p w:rsidR="00362058" w:rsidRDefault="004421A7">
      <w:pPr>
        <w:snapToGrid w:val="0"/>
        <w:jc w:val="left"/>
        <w:rPr>
          <w:rFonts w:ascii="Calibri" w:eastAsia="宋体" w:hAnsi="Calibri" w:cs="Times New Roman"/>
          <w:sz w:val="18"/>
          <w:szCs w:val="18"/>
        </w:rPr>
      </w:pPr>
      <w:r>
        <w:rPr>
          <w:rFonts w:ascii="Times New Roman" w:eastAsia="宋体" w:hAnsi="Times New Roman" w:cs="Times New Roman"/>
          <w:sz w:val="18"/>
          <w:szCs w:val="18"/>
          <w:vertAlign w:val="superscript"/>
        </w:rPr>
        <w:footnoteRef/>
      </w:r>
      <w:r>
        <w:rPr>
          <w:rFonts w:ascii="Calibri" w:eastAsia="宋体" w:hAnsi="Calibri" w:cs="Times New Roman"/>
          <w:sz w:val="18"/>
          <w:szCs w:val="18"/>
        </w:rPr>
        <w:t xml:space="preserve"> </w:t>
      </w:r>
      <w:r>
        <w:rPr>
          <w:rFonts w:ascii="Calibri" w:eastAsia="宋体" w:hAnsi="Calibri" w:cs="Times New Roman" w:hint="eastAsia"/>
          <w:sz w:val="18"/>
          <w:szCs w:val="18"/>
        </w:rPr>
        <w:t>行业案件数据统计不含执行类案件。</w:t>
      </w:r>
    </w:p>
  </w:footnote>
  <w:footnote w:id="9">
    <w:p w:rsidR="00362058" w:rsidRDefault="004421A7">
      <w:pPr>
        <w:pStyle w:val="a6"/>
        <w:rPr>
          <w:rFonts w:ascii="Calibri" w:eastAsia="宋体" w:hAnsi="Calibri" w:cs="Times New Roman"/>
          <w:szCs w:val="18"/>
        </w:rPr>
      </w:pPr>
      <w:r>
        <w:rPr>
          <w:rStyle w:val="a7"/>
        </w:rPr>
        <w:footnoteRef/>
      </w:r>
      <w:r>
        <w:t xml:space="preserve"> </w:t>
      </w:r>
      <w:r>
        <w:rPr>
          <w:rFonts w:ascii="Calibri" w:eastAsia="宋体" w:hAnsi="Calibri" w:cs="Times New Roman" w:hint="eastAsia"/>
          <w:szCs w:val="18"/>
        </w:rPr>
        <w:t>在处理诉讼标的为同一种类且同一方当事人累计人数为十人以上的证券纠纷（群体性证券纠纷）中，选取具有代表性的案件先行审理、先行判决，通过发挥示范案件的引领作用，妥善化解与示范案件有共通的事实争点和法律争点案件（平行案件）的纠纷解决机制。示范案件判决生效后，通过减免诉讼费用激励引导平行案件当事人先行调解；调解不成的，则进行集约化审理，缩短诉讼周期，在判决后督促当事人自动履行。</w:t>
      </w:r>
    </w:p>
  </w:footnote>
  <w:footnote w:id="10">
    <w:p w:rsidR="00362058" w:rsidRDefault="004421A7">
      <w:pPr>
        <w:snapToGrid w:val="0"/>
        <w:jc w:val="left"/>
        <w:rPr>
          <w:rFonts w:ascii="Calibri" w:eastAsia="宋体" w:hAnsi="Calibri" w:cs="Times New Roman"/>
          <w:sz w:val="18"/>
          <w:szCs w:val="18"/>
        </w:rPr>
      </w:pPr>
      <w:r>
        <w:rPr>
          <w:rFonts w:ascii="Times New Roman" w:eastAsia="宋体" w:hAnsi="Times New Roman" w:cs="Times New Roman"/>
          <w:sz w:val="18"/>
          <w:szCs w:val="18"/>
          <w:vertAlign w:val="superscript"/>
        </w:rPr>
        <w:footnoteRef/>
      </w:r>
      <w:r>
        <w:rPr>
          <w:rFonts w:ascii="Calibri" w:eastAsia="宋体" w:hAnsi="Calibri" w:cs="Times New Roman" w:hint="eastAsia"/>
          <w:sz w:val="18"/>
          <w:szCs w:val="18"/>
        </w:rPr>
        <w:t>以审判委员会为指导，在院庭层面分设法官专业委员会、专业法官会议和新型审判团队，辅以专家陪审、专家咨询和专家辅助等专家支持工作机制。</w:t>
      </w:r>
    </w:p>
  </w:footnote>
  <w:footnote w:id="11">
    <w:p w:rsidR="00362058" w:rsidRDefault="004421A7">
      <w:pPr>
        <w:pStyle w:val="a6"/>
        <w:rPr>
          <w:rFonts w:ascii="Calibri" w:eastAsia="宋体" w:hAnsi="Calibri" w:cs="Times New Roman"/>
          <w:szCs w:val="18"/>
        </w:rPr>
      </w:pPr>
      <w:r>
        <w:rPr>
          <w:rStyle w:val="a7"/>
        </w:rPr>
        <w:footnoteRef/>
      </w:r>
      <w:r>
        <w:t xml:space="preserve"> </w:t>
      </w:r>
      <w:r>
        <w:rPr>
          <w:rFonts w:ascii="Calibri" w:eastAsia="宋体" w:hAnsi="Calibri" w:cs="Times New Roman" w:hint="eastAsia"/>
          <w:szCs w:val="18"/>
        </w:rPr>
        <w:t>通过打造金融诉讼风险等级计算模型，对来自法院、企业、金融机构等多元渠道的数据进行多因子智能组合分析，多维度智能揭示、预警金融风险。</w:t>
      </w:r>
    </w:p>
  </w:footnote>
  <w:footnote w:id="12">
    <w:p w:rsidR="00362058" w:rsidRDefault="004421A7">
      <w:pPr>
        <w:pStyle w:val="a6"/>
        <w:rPr>
          <w:rFonts w:ascii="Calibri" w:eastAsia="宋体" w:hAnsi="Calibri" w:cs="Times New Roman"/>
          <w:szCs w:val="18"/>
        </w:rPr>
      </w:pPr>
      <w:r>
        <w:rPr>
          <w:rStyle w:val="a7"/>
        </w:rPr>
        <w:footnoteRef/>
      </w:r>
      <w:r>
        <w:t xml:space="preserve"> </w:t>
      </w:r>
      <w:r>
        <w:rPr>
          <w:rFonts w:ascii="Calibri" w:eastAsia="宋体" w:hAnsi="Calibri" w:cs="Times New Roman" w:hint="eastAsia"/>
          <w:szCs w:val="18"/>
        </w:rPr>
        <w:t>融合人脸识别、人机对话、语义理解等智能技术，通过后台人证比对系统核实投资者的身份信息，并将身份信息与中国证券登记结算公司的证券账户信息、证券交易信息大数据进行快速匹配，自动计算损失金额并生成立案信息。</w:t>
      </w:r>
    </w:p>
  </w:footnote>
  <w:footnote w:id="13">
    <w:p w:rsidR="00362058" w:rsidRDefault="004421A7">
      <w:pPr>
        <w:pStyle w:val="a6"/>
        <w:rPr>
          <w:rFonts w:ascii="Calibri" w:eastAsia="宋体" w:hAnsi="Calibri" w:cs="Times New Roman"/>
          <w:szCs w:val="18"/>
        </w:rPr>
      </w:pPr>
      <w:r>
        <w:rPr>
          <w:rStyle w:val="a7"/>
        </w:rPr>
        <w:footnoteRef/>
      </w:r>
      <w:r>
        <w:t xml:space="preserve"> </w:t>
      </w:r>
      <w:r>
        <w:rPr>
          <w:rFonts w:ascii="Calibri" w:eastAsia="宋体" w:hAnsi="Calibri" w:cs="Times New Roman" w:hint="eastAsia"/>
          <w:szCs w:val="18"/>
        </w:rPr>
        <w:t>该系统支持案件庭审音字实时转换、中英文同步翻译和互联网直播，能够服务外籍诉讼参与人，实现庭审直播全球化，应用到外事接待同传、裁判文书自动中英文翻译等法院工作场景。</w:t>
      </w:r>
    </w:p>
  </w:footnote>
  <w:footnote w:id="14">
    <w:p w:rsidR="00362058" w:rsidRDefault="004421A7">
      <w:pPr>
        <w:snapToGrid w:val="0"/>
        <w:jc w:val="left"/>
        <w:rPr>
          <w:rFonts w:ascii="Calibri" w:eastAsia="宋体" w:hAnsi="Calibri" w:cs="Times New Roman"/>
          <w:sz w:val="18"/>
          <w:szCs w:val="18"/>
        </w:rPr>
      </w:pPr>
      <w:r>
        <w:rPr>
          <w:rFonts w:ascii="Times New Roman" w:eastAsia="宋体" w:hAnsi="Times New Roman" w:cs="Times New Roman"/>
          <w:sz w:val="18"/>
          <w:szCs w:val="18"/>
          <w:vertAlign w:val="superscript"/>
        </w:rPr>
        <w:footnoteRef/>
      </w:r>
      <w:r>
        <w:rPr>
          <w:rFonts w:ascii="Calibri" w:eastAsia="宋体" w:hAnsi="Calibri" w:cs="Times New Roman" w:hint="eastAsia"/>
          <w:sz w:val="18"/>
          <w:szCs w:val="18"/>
        </w:rPr>
        <w:t>金融机构、交易相对方等主体针对准备开展或正在开展的金融业务中具有前沿性、亟待法律明确且对金融市场具有重大影响的典型事实与法律问题而可能引发的纠纷，向上海金融法院申请进行案例测试，上海金融法院通过审理，向金融市场提供明确规则指引。</w:t>
      </w:r>
    </w:p>
  </w:footnote>
  <w:footnote w:id="15">
    <w:p w:rsidR="00362058" w:rsidRDefault="004421A7">
      <w:pPr>
        <w:snapToGrid w:val="0"/>
        <w:jc w:val="left"/>
        <w:rPr>
          <w:rFonts w:ascii="Calibri" w:eastAsia="宋体" w:hAnsi="Calibri" w:cs="Times New Roman"/>
          <w:sz w:val="18"/>
          <w:szCs w:val="18"/>
        </w:rPr>
      </w:pPr>
      <w:r>
        <w:rPr>
          <w:rFonts w:ascii="Times New Roman" w:eastAsia="宋体" w:hAnsi="Times New Roman" w:cs="Times New Roman"/>
          <w:sz w:val="18"/>
          <w:szCs w:val="18"/>
          <w:vertAlign w:val="superscript"/>
        </w:rPr>
        <w:footnoteRef/>
      </w:r>
      <w:r>
        <w:rPr>
          <w:rFonts w:ascii="Calibri" w:eastAsia="宋体" w:hAnsi="Calibri" w:cs="Times New Roman" w:hint="eastAsia"/>
          <w:sz w:val="18"/>
          <w:szCs w:val="18"/>
        </w:rPr>
        <w:t>由上海金融法院发起并联合上海市承担金融行政监管、自律管理职能的相关机构，就与诉讼相关的金融风险防控问题交换意见、协调处置，打造一系列常态化协同工作板块，合力维护金融市场稳定。</w:t>
      </w:r>
    </w:p>
  </w:footnote>
  <w:footnote w:id="16">
    <w:p w:rsidR="00362058" w:rsidRDefault="004421A7">
      <w:pPr>
        <w:pStyle w:val="a6"/>
        <w:rPr>
          <w:rFonts w:ascii="Calibri" w:eastAsia="宋体" w:hAnsi="Calibri" w:cs="Times New Roman"/>
          <w:szCs w:val="18"/>
        </w:rPr>
      </w:pPr>
      <w:r>
        <w:rPr>
          <w:rStyle w:val="a7"/>
        </w:rPr>
        <w:footnoteRef/>
      </w:r>
      <w:r>
        <w:t xml:space="preserve"> </w:t>
      </w:r>
      <w:r>
        <w:rPr>
          <w:rFonts w:ascii="Calibri" w:eastAsia="宋体" w:hAnsi="Calibri" w:cs="Times New Roman" w:hint="eastAsia"/>
          <w:szCs w:val="18"/>
        </w:rPr>
        <w:t>与中国证券登记结算责任有限公司上海分公司进行合作，通过上海金融法院代表人诉讼在线平台向投资者发出胜诉款项分配通知，在查明投资者现行有效沪市证券账号及相应指定结算关系后，通过证券登记结算机构的两级结算机制将赔偿款划付至投资者证券资金账户，进而完成代表人诉讼的执行分配。</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FF1424"/>
    <w:multiLevelType w:val="singleLevel"/>
    <w:tmpl w:val="E1FF142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058"/>
    <w:rsid w:val="00103E10"/>
    <w:rsid w:val="0026722D"/>
    <w:rsid w:val="00322682"/>
    <w:rsid w:val="00322D46"/>
    <w:rsid w:val="00362058"/>
    <w:rsid w:val="00424DB1"/>
    <w:rsid w:val="004421A7"/>
    <w:rsid w:val="005D4C9C"/>
    <w:rsid w:val="006414FF"/>
    <w:rsid w:val="00C433BF"/>
    <w:rsid w:val="00ED6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4FF"/>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rsid w:val="006414FF"/>
    <w:pPr>
      <w:keepNext/>
      <w:keepLines/>
      <w:spacing w:before="260" w:after="260" w:line="413" w:lineRule="auto"/>
      <w:outlineLvl w:val="1"/>
    </w:pPr>
    <w:rPr>
      <w:rFonts w:ascii="Arial" w:eastAsia="黑体" w:hAnsi="Arial"/>
      <w:b/>
      <w:sz w:val="30"/>
    </w:rPr>
  </w:style>
  <w:style w:type="paragraph" w:styleId="3">
    <w:name w:val="heading 3"/>
    <w:basedOn w:val="a"/>
    <w:next w:val="a"/>
    <w:unhideWhenUsed/>
    <w:qFormat/>
    <w:rsid w:val="006414FF"/>
    <w:pPr>
      <w:keepNext/>
      <w:keepLines/>
      <w:spacing w:before="260" w:after="260" w:line="413" w:lineRule="auto"/>
      <w:outlineLvl w:val="2"/>
    </w:pPr>
    <w:rPr>
      <w:rFonts w:eastAsia="楷体"/>
      <w:b/>
      <w:sz w:val="30"/>
    </w:rPr>
  </w:style>
  <w:style w:type="paragraph" w:styleId="4">
    <w:name w:val="heading 4"/>
    <w:basedOn w:val="a"/>
    <w:next w:val="a"/>
    <w:unhideWhenUsed/>
    <w:qFormat/>
    <w:rsid w:val="006414FF"/>
    <w:pPr>
      <w:keepNext/>
      <w:keepLines/>
      <w:spacing w:before="280" w:after="290" w:line="372" w:lineRule="auto"/>
      <w:outlineLvl w:val="3"/>
    </w:pPr>
    <w:rPr>
      <w:rFonts w:ascii="Arial" w:eastAsia="仿宋_GB2312" w:hAnsi="Arial"/>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414FF"/>
    <w:pPr>
      <w:jc w:val="left"/>
    </w:pPr>
  </w:style>
  <w:style w:type="paragraph" w:styleId="a4">
    <w:name w:val="footer"/>
    <w:basedOn w:val="a"/>
    <w:link w:val="Char"/>
    <w:uiPriority w:val="99"/>
    <w:unhideWhenUsed/>
    <w:qFormat/>
    <w:rsid w:val="006414FF"/>
    <w:pPr>
      <w:tabs>
        <w:tab w:val="center" w:pos="4153"/>
        <w:tab w:val="right" w:pos="8306"/>
      </w:tabs>
      <w:snapToGrid w:val="0"/>
      <w:jc w:val="left"/>
    </w:pPr>
    <w:rPr>
      <w:sz w:val="18"/>
      <w:szCs w:val="18"/>
    </w:rPr>
  </w:style>
  <w:style w:type="paragraph" w:styleId="a5">
    <w:name w:val="header"/>
    <w:basedOn w:val="a"/>
    <w:link w:val="Char0"/>
    <w:qFormat/>
    <w:rsid w:val="006414FF"/>
    <w:pPr>
      <w:tabs>
        <w:tab w:val="center" w:pos="4153"/>
        <w:tab w:val="right" w:pos="8306"/>
      </w:tabs>
      <w:snapToGrid w:val="0"/>
      <w:jc w:val="center"/>
    </w:pPr>
    <w:rPr>
      <w:sz w:val="18"/>
      <w:szCs w:val="18"/>
    </w:rPr>
  </w:style>
  <w:style w:type="paragraph" w:styleId="a6">
    <w:name w:val="footnote text"/>
    <w:basedOn w:val="a"/>
    <w:qFormat/>
    <w:rsid w:val="006414FF"/>
    <w:pPr>
      <w:snapToGrid w:val="0"/>
      <w:jc w:val="left"/>
    </w:pPr>
    <w:rPr>
      <w:sz w:val="18"/>
    </w:rPr>
  </w:style>
  <w:style w:type="character" w:styleId="a7">
    <w:name w:val="footnote reference"/>
    <w:basedOn w:val="a0"/>
    <w:qFormat/>
    <w:rsid w:val="006414FF"/>
    <w:rPr>
      <w:vertAlign w:val="superscript"/>
    </w:rPr>
  </w:style>
  <w:style w:type="paragraph" w:customStyle="1" w:styleId="1">
    <w:name w:val="修订1"/>
    <w:hidden/>
    <w:uiPriority w:val="99"/>
    <w:semiHidden/>
    <w:qFormat/>
    <w:rsid w:val="006414FF"/>
    <w:rPr>
      <w:rFonts w:asciiTheme="minorHAnsi" w:eastAsiaTheme="minorEastAsia" w:hAnsiTheme="minorHAnsi" w:cstheme="minorBidi"/>
      <w:kern w:val="2"/>
      <w:sz w:val="21"/>
      <w:szCs w:val="22"/>
    </w:rPr>
  </w:style>
  <w:style w:type="character" w:customStyle="1" w:styleId="Char0">
    <w:name w:val="页眉 Char"/>
    <w:basedOn w:val="a0"/>
    <w:link w:val="a5"/>
    <w:qFormat/>
    <w:rsid w:val="006414FF"/>
    <w:rPr>
      <w:rFonts w:asciiTheme="minorHAnsi" w:eastAsiaTheme="minorEastAsia" w:hAnsiTheme="minorHAnsi" w:cstheme="minorBidi"/>
      <w:kern w:val="2"/>
      <w:sz w:val="18"/>
      <w:szCs w:val="18"/>
    </w:rPr>
  </w:style>
  <w:style w:type="character" w:customStyle="1" w:styleId="Char">
    <w:name w:val="页脚 Char"/>
    <w:basedOn w:val="a0"/>
    <w:link w:val="a4"/>
    <w:uiPriority w:val="99"/>
    <w:qFormat/>
    <w:rsid w:val="006414FF"/>
    <w:rPr>
      <w:rFonts w:asciiTheme="minorHAnsi" w:eastAsiaTheme="minorEastAsia" w:hAnsiTheme="minorHAnsi" w:cstheme="minorBidi"/>
      <w:kern w:val="2"/>
      <w:sz w:val="18"/>
      <w:szCs w:val="18"/>
    </w:rPr>
  </w:style>
  <w:style w:type="paragraph" w:customStyle="1" w:styleId="20">
    <w:name w:val="修订2"/>
    <w:hidden/>
    <w:uiPriority w:val="99"/>
    <w:semiHidden/>
    <w:qFormat/>
    <w:rsid w:val="006414FF"/>
    <w:rPr>
      <w:rFonts w:asciiTheme="minorHAnsi" w:eastAsiaTheme="minorEastAsia" w:hAnsiTheme="minorHAnsi" w:cstheme="minorBidi"/>
      <w:kern w:val="2"/>
      <w:sz w:val="21"/>
      <w:szCs w:val="22"/>
    </w:rPr>
  </w:style>
  <w:style w:type="paragraph" w:customStyle="1" w:styleId="30">
    <w:name w:val="修订3"/>
    <w:hidden/>
    <w:uiPriority w:val="99"/>
    <w:unhideWhenUsed/>
    <w:qFormat/>
    <w:rsid w:val="006414FF"/>
    <w:rPr>
      <w:rFonts w:asciiTheme="minorHAnsi" w:eastAsiaTheme="minorEastAsia" w:hAnsiTheme="minorHAnsi" w:cstheme="minorBidi"/>
      <w:kern w:val="2"/>
      <w:sz w:val="21"/>
      <w:szCs w:val="22"/>
    </w:rPr>
  </w:style>
  <w:style w:type="paragraph" w:customStyle="1" w:styleId="40">
    <w:name w:val="修订4"/>
    <w:hidden/>
    <w:uiPriority w:val="99"/>
    <w:unhideWhenUsed/>
    <w:rsid w:val="006414FF"/>
    <w:rPr>
      <w:rFonts w:asciiTheme="minorHAnsi" w:eastAsiaTheme="minorEastAsia" w:hAnsiTheme="minorHAnsi" w:cstheme="minorBidi"/>
      <w:kern w:val="2"/>
      <w:sz w:val="21"/>
      <w:szCs w:val="22"/>
    </w:rPr>
  </w:style>
  <w:style w:type="paragraph" w:styleId="a8">
    <w:name w:val="Balloon Text"/>
    <w:basedOn w:val="a"/>
    <w:link w:val="Char1"/>
    <w:rsid w:val="00322682"/>
    <w:rPr>
      <w:sz w:val="18"/>
      <w:szCs w:val="18"/>
    </w:rPr>
  </w:style>
  <w:style w:type="character" w:customStyle="1" w:styleId="Char1">
    <w:name w:val="批注框文本 Char"/>
    <w:basedOn w:val="a0"/>
    <w:link w:val="a8"/>
    <w:rsid w:val="0032268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__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__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__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__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__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lang="en-US" altLang="zh-CN" sz="1400" b="1">
                <a:solidFill>
                  <a:sysClr val="windowText" lastClr="000000"/>
                </a:solidFill>
                <a:latin typeface="+mn-ea"/>
                <a:cs typeface="+mn-ea"/>
              </a:rPr>
              <a:t>2018</a:t>
            </a:r>
            <a:r>
              <a:rPr lang="zh-CN" altLang="en-US" sz="1400" b="1">
                <a:solidFill>
                  <a:sysClr val="windowText" lastClr="000000"/>
                </a:solidFill>
                <a:latin typeface="+mn-ea"/>
                <a:cs typeface="+mn-ea"/>
              </a:rPr>
              <a:t>年</a:t>
            </a:r>
            <a:r>
              <a:rPr lang="en-US" altLang="zh-CN" sz="1400" b="1">
                <a:solidFill>
                  <a:sysClr val="windowText" lastClr="000000"/>
                </a:solidFill>
                <a:latin typeface="+mn-ea"/>
                <a:cs typeface="+mn-ea"/>
              </a:rPr>
              <a:t>8</a:t>
            </a:r>
            <a:r>
              <a:rPr lang="zh-CN" altLang="en-US" sz="1400" b="1">
                <a:solidFill>
                  <a:sysClr val="windowText" lastClr="000000"/>
                </a:solidFill>
                <a:latin typeface="+mn-ea"/>
                <a:cs typeface="+mn-ea"/>
              </a:rPr>
              <a:t>月</a:t>
            </a:r>
            <a:r>
              <a:rPr lang="en-US" altLang="zh-CN" sz="1400" b="1">
                <a:solidFill>
                  <a:sysClr val="windowText" lastClr="000000"/>
                </a:solidFill>
                <a:latin typeface="+mn-ea"/>
                <a:cs typeface="+mn-ea"/>
              </a:rPr>
              <a:t>20</a:t>
            </a:r>
            <a:r>
              <a:rPr lang="zh-CN" altLang="en-US" sz="1400" b="1">
                <a:solidFill>
                  <a:sysClr val="windowText" lastClr="000000"/>
                </a:solidFill>
                <a:latin typeface="+mn-ea"/>
                <a:cs typeface="+mn-ea"/>
              </a:rPr>
              <a:t>日至</a:t>
            </a:r>
            <a:r>
              <a:rPr lang="en-US" altLang="zh-CN" sz="1400" b="1">
                <a:solidFill>
                  <a:sysClr val="windowText" lastClr="000000"/>
                </a:solidFill>
                <a:latin typeface="+mn-ea"/>
                <a:cs typeface="+mn-ea"/>
              </a:rPr>
              <a:t>2023</a:t>
            </a:r>
            <a:r>
              <a:rPr lang="zh-CN" altLang="en-US" sz="1400" b="1">
                <a:solidFill>
                  <a:sysClr val="windowText" lastClr="000000"/>
                </a:solidFill>
                <a:latin typeface="+mn-ea"/>
                <a:cs typeface="+mn-ea"/>
              </a:rPr>
              <a:t>年</a:t>
            </a:r>
            <a:r>
              <a:rPr lang="en-US" altLang="zh-CN" sz="1400" b="1">
                <a:solidFill>
                  <a:sysClr val="windowText" lastClr="000000"/>
                </a:solidFill>
                <a:latin typeface="+mn-ea"/>
                <a:cs typeface="+mn-ea"/>
              </a:rPr>
              <a:t>8</a:t>
            </a:r>
            <a:r>
              <a:rPr lang="zh-CN" altLang="en-US" sz="1400" b="1">
                <a:solidFill>
                  <a:sysClr val="windowText" lastClr="000000"/>
                </a:solidFill>
                <a:latin typeface="+mn-ea"/>
                <a:cs typeface="+mn-ea"/>
              </a:rPr>
              <a:t>月</a:t>
            </a:r>
            <a:r>
              <a:rPr lang="en-US" altLang="zh-CN" sz="1400" b="1">
                <a:solidFill>
                  <a:sysClr val="windowText" lastClr="000000"/>
                </a:solidFill>
                <a:latin typeface="+mn-ea"/>
                <a:cs typeface="+mn-ea"/>
              </a:rPr>
              <a:t>19</a:t>
            </a:r>
            <a:r>
              <a:rPr lang="zh-CN" altLang="en-US" sz="1400" b="1">
                <a:solidFill>
                  <a:sysClr val="windowText" lastClr="000000"/>
                </a:solidFill>
                <a:latin typeface="+mn-ea"/>
                <a:cs typeface="+mn-ea"/>
              </a:rPr>
              <a:t>日收结案数量变化</a:t>
            </a:r>
          </a:p>
        </c:rich>
      </c:tx>
      <c:spPr>
        <a:noFill/>
        <a:ln>
          <a:noFill/>
        </a:ln>
        <a:effectLst/>
      </c:spPr>
    </c:title>
    <c:plotArea>
      <c:layout/>
      <c:barChart>
        <c:barDir val="col"/>
        <c:grouping val="clustered"/>
        <c:ser>
          <c:idx val="0"/>
          <c:order val="0"/>
          <c:tx>
            <c:strRef>
              <c:f>Sheet1!$B$1</c:f>
              <c:strCache>
                <c:ptCount val="1"/>
                <c:pt idx="0">
                  <c:v>收案数</c:v>
                </c:pt>
              </c:strCache>
            </c:strRef>
          </c:tx>
          <c:spPr>
            <a:solidFill>
              <a:srgbClr val="5B9BD5"/>
            </a:solidFill>
            <a:ln>
              <a:noFill/>
            </a:ln>
            <a:effectLst/>
          </c:spPr>
          <c:dLbls>
            <c:dLbl>
              <c:idx val="4"/>
              <c:tx>
                <c:rich>
                  <a:bodyPr/>
                  <a:lstStyle/>
                  <a:p>
                    <a:r>
                      <a:rPr lang="en-US" altLang="zh-CN"/>
                      <a:t>8211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4C2-4721-8019-AB255416E671}"/>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6585</c:v>
                </c:pt>
                <c:pt idx="1">
                  <c:v>6744</c:v>
                </c:pt>
                <c:pt idx="2">
                  <c:v>7917</c:v>
                </c:pt>
                <c:pt idx="3">
                  <c:v>9177</c:v>
                </c:pt>
                <c:pt idx="4">
                  <c:v>7315</c:v>
                </c:pt>
              </c:numCache>
            </c:numRef>
          </c:val>
          <c:extLst xmlns:c16r2="http://schemas.microsoft.com/office/drawing/2015/06/chart">
            <c:ext xmlns:c16="http://schemas.microsoft.com/office/drawing/2014/chart" uri="{C3380CC4-5D6E-409C-BE32-E72D297353CC}">
              <c16:uniqueId val="{00000001-24C2-4721-8019-AB255416E671}"/>
            </c:ext>
          </c:extLst>
        </c:ser>
        <c:ser>
          <c:idx val="1"/>
          <c:order val="1"/>
          <c:tx>
            <c:strRef>
              <c:f>Sheet1!$C$1</c:f>
              <c:strCache>
                <c:ptCount val="1"/>
                <c:pt idx="0">
                  <c:v>结案数    （单位：件）</c:v>
                </c:pt>
              </c:strCache>
            </c:strRef>
          </c:tx>
          <c:spPr>
            <a:solidFill>
              <a:srgbClr val="ED7D31"/>
            </a:solidFill>
            <a:ln>
              <a:noFill/>
            </a:ln>
            <a:effectLst/>
          </c:spPr>
          <c:dLbls>
            <c:dLbl>
              <c:idx val="4"/>
              <c:layout>
                <c:manualLayout>
                  <c:x val="1.9375427399133825E-3"/>
                  <c:y val="0"/>
                </c:manualLayout>
              </c:layout>
              <c:tx>
                <c:rich>
                  <a:bodyPr/>
                  <a:lstStyle/>
                  <a:p>
                    <a:r>
                      <a:rPr lang="en-US" altLang="zh-CN"/>
                      <a:t>8756</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4C2-4721-8019-AB255416E671}"/>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4003</c:v>
                </c:pt>
                <c:pt idx="1">
                  <c:v>7025</c:v>
                </c:pt>
                <c:pt idx="2">
                  <c:v>8576</c:v>
                </c:pt>
                <c:pt idx="3">
                  <c:v>8880</c:v>
                </c:pt>
                <c:pt idx="4">
                  <c:v>7970</c:v>
                </c:pt>
              </c:numCache>
            </c:numRef>
          </c:val>
          <c:extLst xmlns:c16r2="http://schemas.microsoft.com/office/drawing/2015/06/chart">
            <c:ext xmlns:c16="http://schemas.microsoft.com/office/drawing/2014/chart" uri="{C3380CC4-5D6E-409C-BE32-E72D297353CC}">
              <c16:uniqueId val="{00000003-24C2-4721-8019-AB255416E671}"/>
            </c:ext>
          </c:extLst>
        </c:ser>
        <c:dLbls>
          <c:showVal val="1"/>
        </c:dLbls>
        <c:gapWidth val="131"/>
        <c:overlap val="-38"/>
        <c:axId val="188229120"/>
        <c:axId val="188231040"/>
      </c:barChart>
      <c:dateAx>
        <c:axId val="188229120"/>
        <c:scaling>
          <c:orientation val="minMax"/>
        </c:scaling>
        <c:axPos val="b"/>
        <c:numFmt formatCode="General" sourceLinked="0"/>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1050" b="0" i="0" u="none" strike="noStrike" kern="1200" baseline="0">
                <a:solidFill>
                  <a:sysClr val="windowText" lastClr="000000"/>
                </a:solidFill>
                <a:latin typeface="+mn-lt"/>
                <a:ea typeface="+mn-ea"/>
                <a:cs typeface="+mn-cs"/>
              </a:defRPr>
            </a:pPr>
            <a:endParaRPr lang="zh-CN"/>
          </a:p>
        </c:txPr>
        <c:crossAx val="188231040"/>
        <c:crosses val="autoZero"/>
        <c:lblOffset val="100"/>
        <c:baseTimeUnit val="days"/>
      </c:dateAx>
      <c:valAx>
        <c:axId val="188231040"/>
        <c:scaling>
          <c:orientation val="minMax"/>
        </c:scaling>
        <c:delete val="1"/>
        <c:axPos val="l"/>
        <c:numFmt formatCode="General" sourceLinked="1"/>
        <c:tickLblPos val="nextTo"/>
        <c:crossAx val="188229120"/>
        <c:crosses val="autoZero"/>
        <c:crossBetween val="between"/>
      </c:valAx>
      <c:spPr>
        <a:noFill/>
        <a:ln>
          <a:noFill/>
        </a:ln>
        <a:effectLst/>
      </c:spPr>
    </c:plotArea>
    <c:legend>
      <c:legendPos val="b"/>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gap"/>
  </c:chart>
  <c:spPr>
    <a:solidFill>
      <a:sysClr val="window" lastClr="FFFFFF"/>
    </a:solidFill>
    <a:ln w="9525" cap="flat" cmpd="sng" algn="ctr">
      <a:solidFill>
        <a:sysClr val="windowText" lastClr="000000">
          <a:lumMod val="15000"/>
          <a:lumOff val="85000"/>
        </a:sysClr>
      </a:solidFill>
      <a:round/>
    </a:ln>
    <a:effectLst/>
  </c:spPr>
  <c:txPr>
    <a:bodyPr anchor="ctr" anchorCtr="1"/>
    <a:lstStyle/>
    <a:p>
      <a:pPr>
        <a:defRPr lang="zh-CN" sz="1200">
          <a:solidFill>
            <a:sysClr val="windowText" lastClr="000000"/>
          </a:solidFill>
        </a:defRPr>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b="1">
                <a:solidFill>
                  <a:sysClr val="windowText" lastClr="000000"/>
                </a:solidFill>
                <a:latin typeface="+mn-ea"/>
                <a:ea typeface="+mn-ea"/>
                <a:cs typeface="+mn-ea"/>
              </a:rPr>
              <a:t>2018</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20</a:t>
            </a:r>
            <a:r>
              <a:rPr lang="zh-CN" altLang="en-US" b="1">
                <a:solidFill>
                  <a:sysClr val="windowText" lastClr="000000"/>
                </a:solidFill>
                <a:latin typeface="+mn-ea"/>
                <a:ea typeface="+mn-ea"/>
                <a:cs typeface="+mn-ea"/>
              </a:rPr>
              <a:t>日至</a:t>
            </a:r>
            <a:r>
              <a:rPr lang="en-US" altLang="zh-CN" b="1">
                <a:solidFill>
                  <a:sysClr val="windowText" lastClr="000000"/>
                </a:solidFill>
                <a:latin typeface="+mn-ea"/>
                <a:ea typeface="+mn-ea"/>
                <a:cs typeface="+mn-ea"/>
              </a:rPr>
              <a:t>2023</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19</a:t>
            </a:r>
            <a:r>
              <a:rPr lang="zh-CN" altLang="en-US" b="1">
                <a:solidFill>
                  <a:sysClr val="windowText" lastClr="000000"/>
                </a:solidFill>
                <a:latin typeface="+mn-ea"/>
                <a:ea typeface="+mn-ea"/>
                <a:cs typeface="+mn-ea"/>
              </a:rPr>
              <a:t>日</a:t>
            </a:r>
          </a:p>
          <a:p>
            <a:pPr defTabSz="914400">
              <a:defRPr lang="zh-CN" sz="1400" b="0" i="0" u="none" strike="noStrike" kern="1200" spc="0" baseline="0">
                <a:solidFill>
                  <a:sysClr val="windowText" lastClr="000000"/>
                </a:solidFill>
                <a:latin typeface="+mn-lt"/>
                <a:ea typeface="+mn-ea"/>
                <a:cs typeface="+mn-cs"/>
              </a:defRPr>
            </a:pPr>
            <a:r>
              <a:rPr lang="zh-CN" altLang="en-US" b="1">
                <a:solidFill>
                  <a:sysClr val="windowText" lastClr="000000"/>
                </a:solidFill>
                <a:latin typeface="+mn-ea"/>
                <a:ea typeface="+mn-ea"/>
                <a:cs typeface="+mn-ea"/>
              </a:rPr>
              <a:t>涉各金融行业收案数量变化</a:t>
            </a:r>
          </a:p>
        </c:rich>
      </c:tx>
      <c:layout>
        <c:manualLayout>
          <c:xMode val="edge"/>
          <c:yMode val="edge"/>
          <c:x val="0.26381086142322135"/>
          <c:y val="1.9815059445178317E-2"/>
        </c:manualLayout>
      </c:layout>
      <c:spPr>
        <a:noFill/>
        <a:ln>
          <a:noFill/>
        </a:ln>
        <a:effectLst/>
      </c:spPr>
    </c:title>
    <c:plotArea>
      <c:layout/>
      <c:lineChart>
        <c:grouping val="standard"/>
        <c:ser>
          <c:idx val="0"/>
          <c:order val="0"/>
          <c:tx>
            <c:strRef>
              <c:f>Sheet1!$B$1</c:f>
              <c:strCache>
                <c:ptCount val="1"/>
                <c:pt idx="0">
                  <c:v>证券业案件</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
                  <c:y val="-1.1063408190224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23F-4D9B-853F-EFEB3BD1ECF7}"/>
                </c:ext>
              </c:extLst>
            </c:dLbl>
            <c:dLbl>
              <c:idx val="4"/>
              <c:layout>
                <c:manualLayout>
                  <c:x val="-6.7883895131086169E-3"/>
                  <c:y val="1.7998678996037003E-2"/>
                </c:manualLayout>
              </c:layout>
              <c:tx>
                <c:rich>
                  <a:bodyPr/>
                  <a:lstStyle/>
                  <a:p>
                    <a:r>
                      <a:rPr lang="en-US" altLang="zh-CN">
                        <a:solidFill>
                          <a:sysClr val="windowText" lastClr="000000"/>
                        </a:solidFill>
                      </a:rPr>
                      <a:t>2058</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23F-4D9B-853F-EFEB3BD1ECF7}"/>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3177</c:v>
                </c:pt>
                <c:pt idx="1">
                  <c:v>3043</c:v>
                </c:pt>
                <c:pt idx="2">
                  <c:v>4101</c:v>
                </c:pt>
                <c:pt idx="3">
                  <c:v>4758</c:v>
                </c:pt>
                <c:pt idx="4">
                  <c:v>2007</c:v>
                </c:pt>
              </c:numCache>
            </c:numRef>
          </c:val>
          <c:extLst xmlns:c16r2="http://schemas.microsoft.com/office/drawing/2015/06/chart">
            <c:ext xmlns:c16="http://schemas.microsoft.com/office/drawing/2014/chart" uri="{C3380CC4-5D6E-409C-BE32-E72D297353CC}">
              <c16:uniqueId val="{00000002-623F-4D9B-853F-EFEB3BD1ECF7}"/>
            </c:ext>
          </c:extLst>
        </c:ser>
        <c:ser>
          <c:idx val="1"/>
          <c:order val="1"/>
          <c:tx>
            <c:strRef>
              <c:f>Sheet1!$C$1</c:f>
              <c:strCache>
                <c:ptCount val="1"/>
                <c:pt idx="0">
                  <c:v>银行业案件</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0"/>
                  <c:y val="9.5772787318362008E-3"/>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23F-4D9B-853F-EFEB3BD1ECF7}"/>
                </c:ext>
              </c:extLst>
            </c:dLbl>
            <c:dLbl>
              <c:idx val="2"/>
              <c:layout>
                <c:manualLayout>
                  <c:x val="0"/>
                  <c:y val="1.238441215323649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23F-4D9B-853F-EFEB3BD1ECF7}"/>
                </c:ext>
              </c:extLst>
            </c:dLbl>
            <c:dLbl>
              <c:idx val="3"/>
              <c:layout>
                <c:manualLayout>
                  <c:x val="0"/>
                  <c:y val="5.4491413474240472E-3"/>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23F-4D9B-853F-EFEB3BD1ECF7}"/>
                </c:ext>
              </c:extLst>
            </c:dLbl>
            <c:dLbl>
              <c:idx val="4"/>
              <c:tx>
                <c:rich>
                  <a:bodyPr/>
                  <a:lstStyle/>
                  <a:p>
                    <a:r>
                      <a:rPr lang="en-US" altLang="zh-CN">
                        <a:solidFill>
                          <a:sysClr val="windowText" lastClr="000000"/>
                        </a:solidFill>
                      </a:rPr>
                      <a:t>2442</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23F-4D9B-853F-EFEB3BD1ECF7}"/>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888</c:v>
                </c:pt>
                <c:pt idx="1">
                  <c:v>1445</c:v>
                </c:pt>
                <c:pt idx="2">
                  <c:v>1600</c:v>
                </c:pt>
                <c:pt idx="3">
                  <c:v>1716</c:v>
                </c:pt>
                <c:pt idx="4">
                  <c:v>2228</c:v>
                </c:pt>
              </c:numCache>
            </c:numRef>
          </c:val>
          <c:extLst xmlns:c16r2="http://schemas.microsoft.com/office/drawing/2015/06/chart">
            <c:ext xmlns:c16="http://schemas.microsoft.com/office/drawing/2014/chart" uri="{C3380CC4-5D6E-409C-BE32-E72D297353CC}">
              <c16:uniqueId val="{00000007-623F-4D9B-853F-EFEB3BD1ECF7}"/>
            </c:ext>
          </c:extLst>
        </c:ser>
        <c:ser>
          <c:idx val="2"/>
          <c:order val="2"/>
          <c:tx>
            <c:strRef>
              <c:f>Sheet1!$D$1</c:f>
              <c:strCache>
                <c:ptCount val="1"/>
                <c:pt idx="0">
                  <c:v>保险业案件    （单位：件）</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
                  <c:y val="-2.196169088507271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23F-4D9B-853F-EFEB3BD1ECF7}"/>
                </c:ext>
              </c:extLst>
            </c:dLbl>
            <c:dLbl>
              <c:idx val="1"/>
              <c:layout>
                <c:manualLayout>
                  <c:x val="-1.9897003745318422E-3"/>
                  <c:y val="-1.78335535006605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23F-4D9B-853F-EFEB3BD1ECF7}"/>
                </c:ext>
              </c:extLst>
            </c:dLbl>
            <c:dLbl>
              <c:idx val="2"/>
              <c:layout>
                <c:manualLayout>
                  <c:x val="-9.7144194756554302E-3"/>
                  <c:y val="-2.212681638044911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23F-4D9B-853F-EFEB3BD1ECF7}"/>
                </c:ext>
              </c:extLst>
            </c:dLbl>
            <c:dLbl>
              <c:idx val="3"/>
              <c:layout>
                <c:manualLayout>
                  <c:x val="0"/>
                  <c:y val="-2.06406869220608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23F-4D9B-853F-EFEB3BD1ECF7}"/>
                </c:ext>
              </c:extLst>
            </c:dLbl>
            <c:dLbl>
              <c:idx val="4"/>
              <c:tx>
                <c:rich>
                  <a:bodyPr/>
                  <a:lstStyle/>
                  <a:p>
                    <a:r>
                      <a:rPr lang="en-US" altLang="zh-CN">
                        <a:solidFill>
                          <a:sysClr val="windowText" lastClr="000000"/>
                        </a:solidFill>
                      </a:rPr>
                      <a:t>344</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623F-4D9B-853F-EFEB3BD1ECF7}"/>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2018-2019年度</c:v>
                </c:pt>
                <c:pt idx="1">
                  <c:v>2019-2020年度</c:v>
                </c:pt>
                <c:pt idx="2">
                  <c:v>2020-2021年度</c:v>
                </c:pt>
                <c:pt idx="3">
                  <c:v>2021-2022年度</c:v>
                </c:pt>
                <c:pt idx="4">
                  <c:v>2022-2023年度</c:v>
                </c:pt>
              </c:strCache>
            </c:strRef>
          </c:cat>
          <c:val>
            <c:numRef>
              <c:f>Sheet1!$D$2:$D$6</c:f>
              <c:numCache>
                <c:formatCode>General</c:formatCode>
                <c:ptCount val="5"/>
                <c:pt idx="0">
                  <c:v>194</c:v>
                </c:pt>
                <c:pt idx="1">
                  <c:v>252</c:v>
                </c:pt>
                <c:pt idx="2">
                  <c:v>360</c:v>
                </c:pt>
                <c:pt idx="3">
                  <c:v>318</c:v>
                </c:pt>
                <c:pt idx="4">
                  <c:v>311</c:v>
                </c:pt>
              </c:numCache>
            </c:numRef>
          </c:val>
          <c:extLst xmlns:c16r2="http://schemas.microsoft.com/office/drawing/2015/06/chart">
            <c:ext xmlns:c16="http://schemas.microsoft.com/office/drawing/2014/chart" uri="{C3380CC4-5D6E-409C-BE32-E72D297353CC}">
              <c16:uniqueId val="{0000000D-623F-4D9B-853F-EFEB3BD1ECF7}"/>
            </c:ext>
          </c:extLst>
        </c:ser>
        <c:dLbls>
          <c:showVal val="1"/>
        </c:dLbls>
        <c:marker val="1"/>
        <c:axId val="211614336"/>
        <c:axId val="211636608"/>
      </c:lineChart>
      <c:catAx>
        <c:axId val="21161433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crossAx val="211636608"/>
        <c:crosses val="autoZero"/>
        <c:auto val="1"/>
        <c:lblAlgn val="ctr"/>
        <c:lblOffset val="100"/>
      </c:catAx>
      <c:valAx>
        <c:axId val="2116366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2116143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zh-CN"/>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40" b="1" i="0" u="none" strike="noStrike" kern="1200" baseline="0">
                <a:solidFill>
                  <a:schemeClr val="tx2"/>
                </a:solidFill>
                <a:latin typeface="+mn-lt"/>
                <a:ea typeface="+mn-ea"/>
                <a:cs typeface="+mn-cs"/>
              </a:defRPr>
            </a:pPr>
            <a:r>
              <a:rPr lang="en-US" altLang="zh-CN" sz="1400">
                <a:solidFill>
                  <a:sysClr val="windowText" lastClr="000000"/>
                </a:solidFill>
              </a:rPr>
              <a:t>2018</a:t>
            </a:r>
            <a:r>
              <a:rPr lang="zh-CN" altLang="en-US" sz="1400">
                <a:solidFill>
                  <a:sysClr val="windowText" lastClr="000000"/>
                </a:solidFill>
              </a:rPr>
              <a:t>年</a:t>
            </a:r>
            <a:r>
              <a:rPr lang="en-US" altLang="zh-CN" sz="1400">
                <a:solidFill>
                  <a:sysClr val="windowText" lastClr="000000"/>
                </a:solidFill>
              </a:rPr>
              <a:t>8</a:t>
            </a:r>
            <a:r>
              <a:rPr lang="zh-CN" altLang="en-US" sz="1400">
                <a:solidFill>
                  <a:sysClr val="windowText" lastClr="000000"/>
                </a:solidFill>
              </a:rPr>
              <a:t>月</a:t>
            </a:r>
            <a:r>
              <a:rPr lang="en-US" altLang="zh-CN" sz="1400">
                <a:solidFill>
                  <a:sysClr val="windowText" lastClr="000000"/>
                </a:solidFill>
              </a:rPr>
              <a:t>20</a:t>
            </a:r>
            <a:r>
              <a:rPr lang="zh-CN" altLang="en-US" sz="1400">
                <a:solidFill>
                  <a:sysClr val="windowText" lastClr="000000"/>
                </a:solidFill>
              </a:rPr>
              <a:t>日至</a:t>
            </a:r>
            <a:r>
              <a:rPr lang="en-US" altLang="zh-CN" sz="1400">
                <a:solidFill>
                  <a:sysClr val="windowText" lastClr="000000"/>
                </a:solidFill>
              </a:rPr>
              <a:t>2023</a:t>
            </a:r>
            <a:r>
              <a:rPr lang="zh-CN" altLang="en-US" sz="1400">
                <a:solidFill>
                  <a:sysClr val="windowText" lastClr="000000"/>
                </a:solidFill>
              </a:rPr>
              <a:t>年</a:t>
            </a:r>
            <a:r>
              <a:rPr lang="en-US" altLang="zh-CN" sz="1400">
                <a:solidFill>
                  <a:sysClr val="windowText" lastClr="000000"/>
                </a:solidFill>
              </a:rPr>
              <a:t>8</a:t>
            </a:r>
            <a:r>
              <a:rPr lang="zh-CN" altLang="en-US" sz="1400">
                <a:solidFill>
                  <a:sysClr val="windowText" lastClr="000000"/>
                </a:solidFill>
              </a:rPr>
              <a:t>月</a:t>
            </a:r>
            <a:r>
              <a:rPr lang="en-US" altLang="zh-CN" sz="1400">
                <a:solidFill>
                  <a:sysClr val="windowText" lastClr="000000"/>
                </a:solidFill>
              </a:rPr>
              <a:t>19</a:t>
            </a:r>
            <a:r>
              <a:rPr lang="zh-CN" altLang="en-US" sz="1400">
                <a:solidFill>
                  <a:sysClr val="windowText" lastClr="000000"/>
                </a:solidFill>
              </a:rPr>
              <a:t>日</a:t>
            </a:r>
          </a:p>
          <a:p>
            <a:pPr defTabSz="914400">
              <a:defRPr lang="zh-CN" sz="1440" b="1" i="0" u="none" strike="noStrike" kern="1200" baseline="0">
                <a:solidFill>
                  <a:schemeClr val="tx2"/>
                </a:solidFill>
                <a:latin typeface="+mn-lt"/>
                <a:ea typeface="+mn-ea"/>
                <a:cs typeface="+mn-cs"/>
              </a:defRPr>
            </a:pPr>
            <a:r>
              <a:rPr lang="zh-CN" altLang="en-US" sz="1400">
                <a:solidFill>
                  <a:sysClr val="windowText" lastClr="000000"/>
                </a:solidFill>
              </a:rPr>
              <a:t>涉各金融行业收案标的额及占比</a:t>
            </a:r>
          </a:p>
        </c:rich>
      </c:tx>
      <c:spPr>
        <a:noFill/>
        <a:ln>
          <a:noFill/>
        </a:ln>
        <a:effectLst/>
      </c:spPr>
    </c:title>
    <c:plotArea>
      <c:layout/>
      <c:doughnutChart>
        <c:varyColors val="1"/>
        <c:ser>
          <c:idx val="0"/>
          <c:order val="0"/>
          <c:tx>
            <c:strRef>
              <c:f>Sheet1!$B$1</c:f>
              <c:strCache>
                <c:ptCount val="1"/>
                <c:pt idx="0">
                  <c:v>各类案件标的额</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D825-4495-8EF9-C71DC6B46E53}"/>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D825-4495-8EF9-C71DC6B46E53}"/>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D825-4495-8EF9-C71DC6B46E53}"/>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D825-4495-8EF9-C71DC6B46E53}"/>
              </c:ext>
            </c:extLst>
          </c:dPt>
          <c:dLbls>
            <c:dLbl>
              <c:idx val="0"/>
              <c:layout>
                <c:manualLayout>
                  <c:x val="-0.12185709273769101"/>
                  <c:y val="-3.4879474068663326E-2"/>
                </c:manualLayout>
              </c:layout>
              <c:tx>
                <c:rich>
                  <a:bodyPr/>
                  <a:lstStyle/>
                  <a:p>
                    <a:r>
                      <a:rPr lang="en-US" altLang="zh-CN"/>
                      <a:t>3511.76, 55.82%</a:t>
                    </a:r>
                  </a:p>
                </c:rich>
              </c:tx>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825-4495-8EF9-C71DC6B46E53}"/>
                </c:ext>
              </c:extLst>
            </c:dLbl>
            <c:dLbl>
              <c:idx val="1"/>
              <c:layout>
                <c:manualLayout>
                  <c:x val="0.112150625657818"/>
                  <c:y val="-3.0314097881665523E-2"/>
                </c:manualLayout>
              </c:layout>
              <c:tx>
                <c:rich>
                  <a:bodyPr/>
                  <a:lstStyle/>
                  <a:p>
                    <a:r>
                      <a:rPr lang="en-US" altLang="zh-CN"/>
                      <a:t>726.97, 11.56%</a:t>
                    </a:r>
                  </a:p>
                </c:rich>
              </c:tx>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825-4495-8EF9-C71DC6B46E53}"/>
                </c:ext>
              </c:extLst>
            </c:dLbl>
            <c:dLbl>
              <c:idx val="2"/>
              <c:layout>
                <c:manualLayout>
                  <c:x val="9.9520523915331588E-2"/>
                  <c:y val="7.6698319941563269E-3"/>
                </c:manualLayout>
              </c:layout>
              <c:tx>
                <c:rich>
                  <a:bodyPr/>
                  <a:lstStyle/>
                  <a:p>
                    <a:r>
                      <a:rPr lang="en-US" altLang="zh-CN"/>
                      <a:t>31.83, 0.51%</a:t>
                    </a:r>
                  </a:p>
                </c:rich>
              </c:tx>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D825-4495-8EF9-C71DC6B46E53}"/>
                </c:ext>
              </c:extLst>
            </c:dLbl>
            <c:dLbl>
              <c:idx val="3"/>
              <c:layout>
                <c:manualLayout>
                  <c:x val="0.11694538650450198"/>
                  <c:y val="3.9627465303140999E-2"/>
                </c:manualLayout>
              </c:layout>
              <c:tx>
                <c:rich>
                  <a:bodyPr/>
                  <a:lstStyle/>
                  <a:p>
                    <a:r>
                      <a:rPr lang="en-US" altLang="zh-CN"/>
                      <a:t>2020.68</a:t>
                    </a:r>
                    <a:r>
                      <a:rPr lang="en-US"/>
                      <a:t>, 3</a:t>
                    </a:r>
                    <a:r>
                      <a:rPr lang="en-US" altLang="zh-CN"/>
                      <a:t>2</a:t>
                    </a:r>
                    <a:r>
                      <a:rPr lang="en-US"/>
                      <a:t>.</a:t>
                    </a:r>
                    <a:r>
                      <a:rPr lang="en-US" altLang="zh-CN"/>
                      <a:t>12</a:t>
                    </a:r>
                    <a:r>
                      <a:rPr lang="en-US"/>
                      <a:t>%</a:t>
                    </a:r>
                  </a:p>
                </c:rich>
              </c:tx>
              <c:showVal val="1"/>
              <c:showPercent val="1"/>
              <c:extLst xmlns:c16r2="http://schemas.microsoft.com/office/drawing/2015/06/chart">
                <c:ext xmlns:c15="http://schemas.microsoft.com/office/drawing/2012/chart" uri="{CE6537A1-D6FC-4f65-9D91-7224C49458BB}">
                  <c15:layout>
                    <c:manualLayout>
                      <c:w val="0.23506022687405001"/>
                      <c:h val="0.116691015339664"/>
                    </c:manualLayout>
                  </c15:layout>
                  <c15:showDataLabelsRange val="0"/>
                </c:ext>
                <c:ext xmlns:c16="http://schemas.microsoft.com/office/drawing/2014/chart" uri="{C3380CC4-5D6E-409C-BE32-E72D297353CC}">
                  <c16:uniqueId val="{00000007-D825-4495-8EF9-C71DC6B46E53}"/>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showVal val="1"/>
            <c:showPercent val="1"/>
            <c:extLst xmlns:c16r2="http://schemas.microsoft.com/office/drawing/2015/06/chart">
              <c:ext xmlns:c15="http://schemas.microsoft.com/office/drawing/2012/chart" uri="{CE6537A1-D6FC-4f65-9D91-7224C49458BB}"/>
            </c:extLst>
          </c:dLbls>
          <c:cat>
            <c:strRef>
              <c:f>Sheet1!$A$2:$A$5</c:f>
              <c:strCache>
                <c:ptCount val="4"/>
                <c:pt idx="0">
                  <c:v>银行业</c:v>
                </c:pt>
                <c:pt idx="1">
                  <c:v>证券业</c:v>
                </c:pt>
                <c:pt idx="2">
                  <c:v>保险业</c:v>
                </c:pt>
                <c:pt idx="3">
                  <c:v>其他案件   （单位：亿元）</c:v>
                </c:pt>
              </c:strCache>
            </c:strRef>
          </c:cat>
          <c:val>
            <c:numRef>
              <c:f>Sheet1!$B$2:$B$5</c:f>
              <c:numCache>
                <c:formatCode>General</c:formatCode>
                <c:ptCount val="4"/>
                <c:pt idx="0">
                  <c:v>3439.94</c:v>
                </c:pt>
                <c:pt idx="1">
                  <c:v>726.31</c:v>
                </c:pt>
                <c:pt idx="2">
                  <c:v>31.82</c:v>
                </c:pt>
                <c:pt idx="3">
                  <c:v>1968.87</c:v>
                </c:pt>
              </c:numCache>
            </c:numRef>
          </c:val>
          <c:extLst xmlns:c16r2="http://schemas.microsoft.com/office/drawing/2015/06/chart">
            <c:ext xmlns:c16="http://schemas.microsoft.com/office/drawing/2014/chart" uri="{C3380CC4-5D6E-409C-BE32-E72D297353CC}">
              <c16:uniqueId val="{00000008-D825-4495-8EF9-C71DC6B46E53}"/>
            </c:ext>
          </c:extLst>
        </c:ser>
        <c:dLbls>
          <c:showVal val="1"/>
        </c:dLbls>
        <c:firstSliceAng val="217"/>
        <c:holeSize val="75"/>
      </c:doughnut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lang="zh-CN" sz="1200"/>
      </a:pPr>
      <a:endParaRPr lang="zh-CN"/>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b="1">
                <a:solidFill>
                  <a:sysClr val="windowText" lastClr="000000"/>
                </a:solidFill>
                <a:latin typeface="+mn-ea"/>
                <a:ea typeface="+mn-ea"/>
                <a:cs typeface="+mn-ea"/>
              </a:rPr>
              <a:t>2018</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20</a:t>
            </a:r>
            <a:r>
              <a:rPr lang="zh-CN" altLang="en-US" b="1">
                <a:solidFill>
                  <a:sysClr val="windowText" lastClr="000000"/>
                </a:solidFill>
                <a:latin typeface="+mn-ea"/>
                <a:ea typeface="+mn-ea"/>
                <a:cs typeface="+mn-ea"/>
              </a:rPr>
              <a:t>日至</a:t>
            </a:r>
            <a:r>
              <a:rPr lang="en-US" altLang="zh-CN" b="1">
                <a:solidFill>
                  <a:sysClr val="windowText" lastClr="000000"/>
                </a:solidFill>
                <a:latin typeface="+mn-ea"/>
                <a:ea typeface="+mn-ea"/>
                <a:cs typeface="+mn-ea"/>
              </a:rPr>
              <a:t>2023</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19</a:t>
            </a:r>
            <a:r>
              <a:rPr lang="zh-CN" altLang="en-US" b="1">
                <a:solidFill>
                  <a:sysClr val="windowText" lastClr="000000"/>
                </a:solidFill>
                <a:latin typeface="+mn-ea"/>
                <a:ea typeface="+mn-ea"/>
                <a:cs typeface="+mn-ea"/>
              </a:rPr>
              <a:t>日</a:t>
            </a:r>
          </a:p>
          <a:p>
            <a:pPr defTabSz="914400">
              <a:defRPr lang="zh-CN" sz="1400" b="0" i="0" u="none" strike="noStrike" kern="1200" spc="0" baseline="0">
                <a:solidFill>
                  <a:sysClr val="windowText" lastClr="000000"/>
                </a:solidFill>
                <a:latin typeface="+mn-lt"/>
                <a:ea typeface="+mn-ea"/>
                <a:cs typeface="+mn-cs"/>
              </a:defRPr>
            </a:pPr>
            <a:r>
              <a:rPr lang="zh-CN" altLang="en-US" b="1">
                <a:solidFill>
                  <a:sysClr val="windowText" lastClr="000000"/>
                </a:solidFill>
                <a:latin typeface="+mn-ea"/>
                <a:ea typeface="+mn-ea"/>
                <a:cs typeface="+mn-ea"/>
              </a:rPr>
              <a:t>涉各金融行业收案标的额变化</a:t>
            </a:r>
          </a:p>
        </c:rich>
      </c:tx>
      <c:layout>
        <c:manualLayout>
          <c:xMode val="edge"/>
          <c:yMode val="edge"/>
          <c:x val="0.27217835578262922"/>
          <c:y val="3.2487623762376225E-2"/>
        </c:manualLayout>
      </c:layout>
      <c:spPr>
        <a:noFill/>
        <a:ln>
          <a:noFill/>
        </a:ln>
        <a:effectLst/>
      </c:spPr>
    </c:title>
    <c:plotArea>
      <c:layout/>
      <c:lineChart>
        <c:grouping val="standard"/>
        <c:ser>
          <c:idx val="0"/>
          <c:order val="0"/>
          <c:tx>
            <c:strRef>
              <c:f>Sheet1!#REF!</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Sheet1!$A$2:$A$6</c:f>
              <c:strCache>
                <c:ptCount val="5"/>
                <c:pt idx="0">
                  <c:v>2018-2019年度</c:v>
                </c:pt>
                <c:pt idx="1">
                  <c:v>2019-2020年度</c:v>
                </c:pt>
                <c:pt idx="2">
                  <c:v>2020-2021年度</c:v>
                </c:pt>
                <c:pt idx="3">
                  <c:v>2021-2022年度</c:v>
                </c:pt>
                <c:pt idx="4">
                  <c:v>2022-2023年度</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B176-41AC-AD87-DEB4B375F475}"/>
            </c:ext>
          </c:extLst>
        </c:ser>
        <c:ser>
          <c:idx val="1"/>
          <c:order val="1"/>
          <c:tx>
            <c:strRef>
              <c:f>Sheet1!$B$1</c:f>
              <c:strCache>
                <c:ptCount val="1"/>
                <c:pt idx="0">
                  <c:v>证券业案件</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708778448676258E-3"/>
                  <c:y val="-1.686262376237621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76-41AC-AD87-DEB4B375F475}"/>
                </c:ext>
              </c:extLst>
            </c:dLbl>
            <c:dLbl>
              <c:idx val="1"/>
              <c:layout>
                <c:manualLayout>
                  <c:x val="-1.0682768230376201E-2"/>
                  <c:y val="-2.707301980198021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76-41AC-AD87-DEB4B375F475}"/>
                </c:ext>
              </c:extLst>
            </c:dLbl>
            <c:dLbl>
              <c:idx val="2"/>
              <c:layout>
                <c:manualLayout>
                  <c:x val="-5.8058522991175114E-3"/>
                  <c:y val="-1.547029702970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76-41AC-AD87-DEB4B375F475}"/>
                </c:ext>
              </c:extLst>
            </c:dLbl>
            <c:dLbl>
              <c:idx val="3"/>
              <c:layout>
                <c:manualLayout>
                  <c:x val="-5.8058522991175114E-3"/>
                  <c:y val="-1.2995049504950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76-41AC-AD87-DEB4B375F475}"/>
                </c:ext>
              </c:extLst>
            </c:dLbl>
            <c:dLbl>
              <c:idx val="4"/>
              <c:tx>
                <c:rich>
                  <a:bodyPr/>
                  <a:lstStyle/>
                  <a:p>
                    <a:r>
                      <a:rPr lang="en-US" altLang="zh-CN"/>
                      <a:t>56.71</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B176-41AC-AD87-DEB4B375F475}"/>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182.73</c:v>
                </c:pt>
                <c:pt idx="1">
                  <c:v>188.81</c:v>
                </c:pt>
                <c:pt idx="2">
                  <c:v>148.13999999999999</c:v>
                </c:pt>
                <c:pt idx="3">
                  <c:v>150.58000000000001</c:v>
                </c:pt>
                <c:pt idx="4">
                  <c:v>56.04</c:v>
                </c:pt>
              </c:numCache>
            </c:numRef>
          </c:val>
          <c:extLst xmlns:c16r2="http://schemas.microsoft.com/office/drawing/2015/06/chart">
            <c:ext xmlns:c16="http://schemas.microsoft.com/office/drawing/2014/chart" uri="{C3380CC4-5D6E-409C-BE32-E72D297353CC}">
              <c16:uniqueId val="{00000006-B176-41AC-AD87-DEB4B375F475}"/>
            </c:ext>
          </c:extLst>
        </c:ser>
        <c:ser>
          <c:idx val="2"/>
          <c:order val="2"/>
          <c:tx>
            <c:strRef>
              <c:f>Sheet1!$C$1</c:f>
              <c:strCache>
                <c:ptCount val="1"/>
                <c:pt idx="0">
                  <c:v>银行业案件</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4"/>
              <c:tx>
                <c:rich>
                  <a:bodyPr/>
                  <a:lstStyle/>
                  <a:p>
                    <a:r>
                      <a:rPr lang="en-US" altLang="zh-CN"/>
                      <a:t>726.09</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B176-41AC-AD87-DEB4B375F475}"/>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386.67</c:v>
                </c:pt>
                <c:pt idx="1">
                  <c:v>774.78000000000043</c:v>
                </c:pt>
                <c:pt idx="2">
                  <c:v>858.31</c:v>
                </c:pt>
                <c:pt idx="3">
                  <c:v>766.78000000000043</c:v>
                </c:pt>
                <c:pt idx="4">
                  <c:v>653.39</c:v>
                </c:pt>
              </c:numCache>
            </c:numRef>
          </c:val>
          <c:extLst xmlns:c16r2="http://schemas.microsoft.com/office/drawing/2015/06/chart">
            <c:ext xmlns:c16="http://schemas.microsoft.com/office/drawing/2014/chart" uri="{C3380CC4-5D6E-409C-BE32-E72D297353CC}">
              <c16:uniqueId val="{00000008-B176-41AC-AD87-DEB4B375F475}"/>
            </c:ext>
          </c:extLst>
        </c:ser>
        <c:ser>
          <c:idx val="3"/>
          <c:order val="3"/>
          <c:tx>
            <c:strRef>
              <c:f>Sheet1!$D$1</c:f>
              <c:strCache>
                <c:ptCount val="1"/>
                <c:pt idx="0">
                  <c:v>保险业案件    （单位：亿元）</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90292614955876E-3"/>
                  <c:y val="-1.547029702970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176-41AC-AD87-DEB4B375F475}"/>
                </c:ext>
              </c:extLst>
            </c:dLbl>
            <c:dLbl>
              <c:idx val="1"/>
              <c:layout>
                <c:manualLayout>
                  <c:x val="-6.7347886669763104E-3"/>
                  <c:y val="-2.45977722772277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176-41AC-AD87-DEB4B375F475}"/>
                </c:ext>
              </c:extLst>
            </c:dLbl>
            <c:dLbl>
              <c:idx val="2"/>
              <c:layout>
                <c:manualLayout>
                  <c:x val="-1.0450534138411501E-3"/>
                  <c:y val="-1.160272277227720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176-41AC-AD87-DEB4B375F475}"/>
                </c:ext>
              </c:extLst>
            </c:dLbl>
            <c:dLbl>
              <c:idx val="3"/>
              <c:layout>
                <c:manualLayout>
                  <c:x val="-5.8058522991175114E-3"/>
                  <c:y val="-1.4232673267326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176-41AC-AD87-DEB4B375F475}"/>
                </c:ext>
              </c:extLst>
            </c:dLbl>
            <c:dLbl>
              <c:idx val="4"/>
              <c:tx>
                <c:rich>
                  <a:bodyPr/>
                  <a:lstStyle/>
                  <a:p>
                    <a:r>
                      <a:rPr lang="en-US" altLang="zh-CN"/>
                      <a:t>1.18</a:t>
                    </a:r>
                  </a:p>
                </c:rich>
              </c:tx>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B176-41AC-AD87-DEB4B375F475}"/>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Sheet1!$D$2:$D$6</c:f>
              <c:numCache>
                <c:formatCode>General</c:formatCode>
                <c:ptCount val="5"/>
                <c:pt idx="0">
                  <c:v>5.6</c:v>
                </c:pt>
                <c:pt idx="1">
                  <c:v>5.3199999999999985</c:v>
                </c:pt>
                <c:pt idx="2">
                  <c:v>9.5300000000000011</c:v>
                </c:pt>
                <c:pt idx="3">
                  <c:v>10.200000000000001</c:v>
                </c:pt>
                <c:pt idx="4">
                  <c:v>1.1700000000000008</c:v>
                </c:pt>
              </c:numCache>
            </c:numRef>
          </c:val>
          <c:extLst xmlns:c16r2="http://schemas.microsoft.com/office/drawing/2015/06/chart">
            <c:ext xmlns:c16="http://schemas.microsoft.com/office/drawing/2014/chart" uri="{C3380CC4-5D6E-409C-BE32-E72D297353CC}">
              <c16:uniqueId val="{0000000E-B176-41AC-AD87-DEB4B375F475}"/>
            </c:ext>
          </c:extLst>
        </c:ser>
        <c:dLbls>
          <c:showVal val="1"/>
        </c:dLbls>
        <c:marker val="1"/>
        <c:axId val="212182912"/>
        <c:axId val="212184448"/>
      </c:lineChart>
      <c:catAx>
        <c:axId val="21218291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crossAx val="212184448"/>
        <c:crosses val="autoZero"/>
        <c:auto val="1"/>
        <c:lblAlgn val="ctr"/>
        <c:lblOffset val="100"/>
      </c:catAx>
      <c:valAx>
        <c:axId val="2121844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212182912"/>
        <c:crosses val="autoZero"/>
        <c:crossBetween val="between"/>
      </c:valAx>
      <c:spPr>
        <a:noFill/>
        <a:ln>
          <a:noFill/>
        </a:ln>
        <a:effectLst/>
      </c:spPr>
    </c:plotArea>
    <c:legend>
      <c:legendPos val="b"/>
      <c:legendEntry>
        <c:idx val="0"/>
        <c:delete val="1"/>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zh-CN"/>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260" b="1" i="0" u="none" strike="noStrike" kern="1200" spc="0" baseline="0">
                <a:solidFill>
                  <a:sysClr val="windowText" lastClr="000000"/>
                </a:solidFill>
                <a:latin typeface="+mn-lt"/>
                <a:ea typeface="+mn-ea"/>
                <a:cs typeface="+mn-cs"/>
              </a:defRPr>
            </a:pPr>
            <a:r>
              <a:rPr lang="en-US" altLang="zh-CN" sz="1400" b="1">
                <a:solidFill>
                  <a:sysClr val="windowText" lastClr="000000"/>
                </a:solidFill>
                <a:latin typeface="+mn-ea"/>
                <a:ea typeface="+mn-ea"/>
                <a:cs typeface="+mn-ea"/>
              </a:rPr>
              <a:t>2018</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20</a:t>
            </a:r>
            <a:r>
              <a:rPr lang="zh-CN" altLang="en-US" sz="1400" b="1">
                <a:solidFill>
                  <a:sysClr val="windowText" lastClr="000000"/>
                </a:solidFill>
                <a:latin typeface="+mn-ea"/>
                <a:ea typeface="+mn-ea"/>
                <a:cs typeface="+mn-ea"/>
              </a:rPr>
              <a:t>日至</a:t>
            </a:r>
            <a:r>
              <a:rPr lang="en-US" altLang="zh-CN" sz="1400" b="1">
                <a:solidFill>
                  <a:sysClr val="windowText" lastClr="000000"/>
                </a:solidFill>
                <a:latin typeface="+mn-ea"/>
                <a:ea typeface="+mn-ea"/>
                <a:cs typeface="+mn-ea"/>
              </a:rPr>
              <a:t>2023</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19</a:t>
            </a:r>
            <a:r>
              <a:rPr lang="zh-CN" altLang="en-US" sz="1400" b="1">
                <a:solidFill>
                  <a:sysClr val="windowText" lastClr="000000"/>
                </a:solidFill>
                <a:latin typeface="+mn-ea"/>
                <a:ea typeface="+mn-ea"/>
                <a:cs typeface="+mn-ea"/>
              </a:rPr>
              <a:t>日</a:t>
            </a:r>
          </a:p>
          <a:p>
            <a:pPr defTabSz="914400">
              <a:defRPr lang="zh-CN" sz="1260" b="1" i="0" u="none" strike="noStrike" kern="1200" spc="0" baseline="0">
                <a:solidFill>
                  <a:sysClr val="windowText" lastClr="000000"/>
                </a:solidFill>
                <a:latin typeface="+mn-lt"/>
                <a:ea typeface="+mn-ea"/>
                <a:cs typeface="+mn-cs"/>
              </a:defRPr>
            </a:pPr>
            <a:r>
              <a:rPr lang="zh-CN" altLang="en-US" sz="1400" b="1">
                <a:solidFill>
                  <a:sysClr val="windowText" lastClr="000000"/>
                </a:solidFill>
                <a:latin typeface="+mn-ea"/>
                <a:ea typeface="+mn-ea"/>
                <a:cs typeface="+mn-ea"/>
              </a:rPr>
              <a:t>受理涉外、涉港澳台案件案由分布</a:t>
            </a:r>
          </a:p>
        </c:rich>
      </c:tx>
      <c:spPr>
        <a:noFill/>
        <a:ln>
          <a:noFill/>
        </a:ln>
        <a:effectLst/>
      </c:spPr>
    </c:title>
    <c:plotArea>
      <c:layout/>
      <c:pieChart>
        <c:varyColors val="1"/>
        <c:ser>
          <c:idx val="0"/>
          <c:order val="0"/>
          <c:tx>
            <c:strRef>
              <c:f>Sheet1!$B$1</c:f>
              <c:strCache>
                <c:ptCount val="1"/>
                <c:pt idx="0">
                  <c:v>案件数</c:v>
                </c:pt>
              </c:strCache>
            </c:strRef>
          </c:tx>
          <c:dPt>
            <c:idx val="0"/>
            <c:spPr>
              <a:solidFill>
                <a:srgbClr val="5B9BD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1-DC09-4B49-83BA-673CBE7FBB8F}"/>
              </c:ext>
            </c:extLst>
          </c:dPt>
          <c:dPt>
            <c:idx val="1"/>
            <c:spPr>
              <a:solidFill>
                <a:srgbClr val="ED7D31"/>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3-DC09-4B49-83BA-673CBE7FBB8F}"/>
              </c:ext>
            </c:extLst>
          </c:dPt>
          <c:dPt>
            <c:idx val="2"/>
            <c:spPr>
              <a:solidFill>
                <a:srgbClr val="A5A5A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5-DC09-4B49-83BA-673CBE7FBB8F}"/>
              </c:ext>
            </c:extLst>
          </c:dPt>
          <c:dPt>
            <c:idx val="3"/>
            <c:spPr>
              <a:solidFill>
                <a:srgbClr val="FFC000"/>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7-DC09-4B49-83BA-673CBE7FBB8F}"/>
              </c:ext>
            </c:extLst>
          </c:dPt>
          <c:dPt>
            <c:idx val="4"/>
            <c:spPr>
              <a:solidFill>
                <a:srgbClr val="4472C4"/>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9-DC09-4B49-83BA-673CBE7FBB8F}"/>
              </c:ext>
            </c:extLst>
          </c:dPt>
          <c:dPt>
            <c:idx val="5"/>
            <c:spPr>
              <a:solidFill>
                <a:srgbClr val="70AD47"/>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B-DC09-4B49-83BA-673CBE7FBB8F}"/>
              </c:ext>
            </c:extLst>
          </c:dPt>
          <c:dLbls>
            <c:dLbl>
              <c:idx val="0"/>
              <c:tx>
                <c:rich>
                  <a:bodyPr/>
                  <a:lstStyle/>
                  <a:p>
                    <a:r>
                      <a:rPr lang="en-US" altLang="zh-CN"/>
                      <a:t>89</a:t>
                    </a:r>
                    <a:r>
                      <a:rPr lang="en-US"/>
                      <a:t>, 2</a:t>
                    </a:r>
                    <a:r>
                      <a:rPr lang="en-US" altLang="zh-CN"/>
                      <a:t>5.07</a:t>
                    </a:r>
                    <a:r>
                      <a:rPr lang="en-US"/>
                      <a:t>%</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C09-4B49-83BA-673CBE7FBB8F}"/>
                </c:ext>
              </c:extLst>
            </c:dLbl>
            <c:dLbl>
              <c:idx val="1"/>
              <c:tx>
                <c:rich>
                  <a:bodyPr/>
                  <a:lstStyle/>
                  <a:p>
                    <a:r>
                      <a:rPr lang="en-US" altLang="zh-CN"/>
                      <a:t>27, 7.61%</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C09-4B49-83BA-673CBE7FBB8F}"/>
                </c:ext>
              </c:extLst>
            </c:dLbl>
            <c:dLbl>
              <c:idx val="2"/>
              <c:tx>
                <c:rich>
                  <a:bodyPr/>
                  <a:lstStyle/>
                  <a:p>
                    <a:r>
                      <a:rPr lang="en-US" altLang="zh-CN"/>
                      <a:t>39, 10.99%</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DC09-4B49-83BA-673CBE7FBB8F}"/>
                </c:ext>
              </c:extLst>
            </c:dLbl>
            <c:dLbl>
              <c:idx val="3"/>
              <c:layout>
                <c:manualLayout>
                  <c:x val="-1.8394371955875212E-3"/>
                  <c:y val="-3.781720863545337E-5"/>
                </c:manualLayout>
              </c:layout>
              <c:tx>
                <c:rich>
                  <a:bodyPr/>
                  <a:lstStyle/>
                  <a:p>
                    <a:r>
                      <a:rPr lang="en-US" altLang="zh-CN"/>
                      <a:t>25, 7.04%</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DC09-4B49-83BA-673CBE7FBB8F}"/>
                </c:ext>
              </c:extLst>
            </c:dLbl>
            <c:dLbl>
              <c:idx val="4"/>
              <c:layout>
                <c:manualLayout>
                  <c:x val="-1.4199517365326399E-2"/>
                  <c:y val="1.7841448837878217E-3"/>
                </c:manualLayout>
              </c:layout>
              <c:tx>
                <c:rich>
                  <a:bodyPr/>
                  <a:lstStyle/>
                  <a:p>
                    <a:r>
                      <a:rPr lang="en-US" altLang="zh-CN"/>
                      <a:t>28</a:t>
                    </a:r>
                    <a:r>
                      <a:rPr lang="en-US"/>
                      <a:t>, 7.</a:t>
                    </a:r>
                    <a:r>
                      <a:rPr lang="en-US" altLang="zh-CN"/>
                      <a:t>89</a:t>
                    </a:r>
                    <a:r>
                      <a:rPr lang="en-US"/>
                      <a:t>%</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DC09-4B49-83BA-673CBE7FBB8F}"/>
                </c:ext>
              </c:extLst>
            </c:dLbl>
            <c:dLbl>
              <c:idx val="5"/>
              <c:tx>
                <c:rich>
                  <a:bodyPr/>
                  <a:lstStyle/>
                  <a:p>
                    <a:r>
                      <a:rPr lang="en-US" altLang="zh-CN"/>
                      <a:t>147, 41.41%</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DC09-4B49-83BA-673CBE7FBB8F}"/>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mn-lt"/>
                    <a:ea typeface="+mn-ea"/>
                    <a:cs typeface="+mn-cs"/>
                  </a:defRPr>
                </a:pPr>
                <a:endParaRPr lang="zh-CN"/>
              </a:p>
            </c:txPr>
            <c:dLblPos val="bestFit"/>
            <c:showVal val="1"/>
            <c:showPercent val="1"/>
            <c:extLst xmlns:c16r2="http://schemas.microsoft.com/office/drawing/2015/06/chart">
              <c:ext xmlns:c15="http://schemas.microsoft.com/office/drawing/2012/chart" uri="{CE6537A1-D6FC-4f65-9D91-7224C49458BB}"/>
            </c:extLst>
          </c:dLbls>
          <c:cat>
            <c:strRef>
              <c:f>Sheet1!$A$2:$A$7</c:f>
              <c:strCache>
                <c:ptCount val="6"/>
                <c:pt idx="0">
                  <c:v>金融借款合同纠纷</c:v>
                </c:pt>
                <c:pt idx="1">
                  <c:v>仲裁程序中的财产保全</c:v>
                </c:pt>
                <c:pt idx="2">
                  <c:v>其他合同纠纷</c:v>
                </c:pt>
                <c:pt idx="3">
                  <c:v>证券虚假陈述责任纠纷</c:v>
                </c:pt>
                <c:pt idx="4">
                  <c:v>保证合同纠纷</c:v>
                </c:pt>
                <c:pt idx="5">
                  <c:v>其他案由            （单位：件）</c:v>
                </c:pt>
              </c:strCache>
            </c:strRef>
          </c:cat>
          <c:val>
            <c:numRef>
              <c:f>Sheet1!$B$2:$B$7</c:f>
              <c:numCache>
                <c:formatCode>General</c:formatCode>
                <c:ptCount val="6"/>
                <c:pt idx="0">
                  <c:v>94</c:v>
                </c:pt>
                <c:pt idx="1">
                  <c:v>26</c:v>
                </c:pt>
                <c:pt idx="2">
                  <c:v>37</c:v>
                </c:pt>
                <c:pt idx="3">
                  <c:v>25</c:v>
                </c:pt>
                <c:pt idx="4">
                  <c:v>31</c:v>
                </c:pt>
                <c:pt idx="5">
                  <c:v>188</c:v>
                </c:pt>
              </c:numCache>
            </c:numRef>
          </c:val>
          <c:extLst xmlns:c16r2="http://schemas.microsoft.com/office/drawing/2015/06/chart">
            <c:ext xmlns:c16="http://schemas.microsoft.com/office/drawing/2014/chart" uri="{C3380CC4-5D6E-409C-BE32-E72D297353CC}">
              <c16:uniqueId val="{0000000C-DC09-4B49-83BA-673CBE7FBB8F}"/>
            </c:ext>
          </c:extLst>
        </c:ser>
        <c:dLbls>
          <c:showVal val="1"/>
        </c:dLbls>
        <c:firstSliceAng val="274"/>
      </c:pieChart>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5"/>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
    <c:plotVisOnly val="1"/>
    <c:dispBlanksAs val="zero"/>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1050">
          <a:solidFill>
            <a:sysClr val="windowText" lastClr="000000"/>
          </a:solidFill>
        </a:defRPr>
      </a:pPr>
      <a:endParaRPr lang="zh-CN"/>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sz="1400" b="1">
                <a:solidFill>
                  <a:sysClr val="windowText" lastClr="000000"/>
                </a:solidFill>
              </a:rPr>
              <a:t>2018</a:t>
            </a:r>
            <a:r>
              <a:rPr lang="zh-CN" altLang="en-US" sz="1400" b="1">
                <a:solidFill>
                  <a:sysClr val="windowText" lastClr="000000"/>
                </a:solidFill>
              </a:rPr>
              <a:t>年</a:t>
            </a:r>
            <a:r>
              <a:rPr lang="en-US" altLang="zh-CN" sz="1400" b="1">
                <a:solidFill>
                  <a:sysClr val="windowText" lastClr="000000"/>
                </a:solidFill>
              </a:rPr>
              <a:t>8</a:t>
            </a:r>
            <a:r>
              <a:rPr lang="zh-CN" altLang="en-US" sz="1400" b="1">
                <a:solidFill>
                  <a:sysClr val="windowText" lastClr="000000"/>
                </a:solidFill>
              </a:rPr>
              <a:t>月</a:t>
            </a:r>
            <a:r>
              <a:rPr lang="en-US" altLang="zh-CN" sz="1400" b="1">
                <a:solidFill>
                  <a:sysClr val="windowText" lastClr="000000"/>
                </a:solidFill>
              </a:rPr>
              <a:t>20</a:t>
            </a:r>
            <a:r>
              <a:rPr lang="zh-CN" altLang="en-US" sz="1400" b="1">
                <a:solidFill>
                  <a:sysClr val="windowText" lastClr="000000"/>
                </a:solidFill>
              </a:rPr>
              <a:t>日至</a:t>
            </a:r>
            <a:r>
              <a:rPr lang="en-US" altLang="zh-CN" sz="1400" b="1">
                <a:solidFill>
                  <a:sysClr val="windowText" lastClr="000000"/>
                </a:solidFill>
              </a:rPr>
              <a:t>2023</a:t>
            </a:r>
            <a:r>
              <a:rPr lang="zh-CN" altLang="en-US" sz="1400" b="1">
                <a:solidFill>
                  <a:sysClr val="windowText" lastClr="000000"/>
                </a:solidFill>
              </a:rPr>
              <a:t>年</a:t>
            </a:r>
            <a:r>
              <a:rPr lang="en-US" altLang="zh-CN" sz="1400" b="1">
                <a:solidFill>
                  <a:sysClr val="windowText" lastClr="000000"/>
                </a:solidFill>
              </a:rPr>
              <a:t>8</a:t>
            </a:r>
            <a:r>
              <a:rPr lang="zh-CN" altLang="en-US" sz="1400" b="1">
                <a:solidFill>
                  <a:sysClr val="windowText" lastClr="000000"/>
                </a:solidFill>
              </a:rPr>
              <a:t>月</a:t>
            </a:r>
            <a:r>
              <a:rPr lang="en-US" altLang="zh-CN" sz="1400" b="1">
                <a:solidFill>
                  <a:sysClr val="windowText" lastClr="000000"/>
                </a:solidFill>
              </a:rPr>
              <a:t>19</a:t>
            </a:r>
            <a:r>
              <a:rPr lang="zh-CN" altLang="en-US" sz="1400" b="1">
                <a:solidFill>
                  <a:sysClr val="windowText" lastClr="000000"/>
                </a:solidFill>
              </a:rPr>
              <a:t>日</a:t>
            </a:r>
          </a:p>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sz="1400" b="1">
                <a:solidFill>
                  <a:sysClr val="windowText" lastClr="000000"/>
                </a:solidFill>
              </a:rPr>
              <a:t>证券虚假陈述纠纷案件涉及上市公司数量</a:t>
            </a:r>
          </a:p>
        </c:rich>
      </c:tx>
      <c:spPr>
        <a:noFill/>
        <a:ln>
          <a:noFill/>
        </a:ln>
        <a:effectLst/>
      </c:spPr>
    </c:title>
    <c:plotArea>
      <c:layout/>
      <c:barChart>
        <c:barDir val="col"/>
        <c:grouping val="clustered"/>
        <c:ser>
          <c:idx val="0"/>
          <c:order val="0"/>
          <c:tx>
            <c:strRef>
              <c:f>Sheet1!$B$1</c:f>
              <c:strCache>
                <c:ptCount val="1"/>
                <c:pt idx="0">
                  <c:v>涉上市公司数量（单位：家）</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50" b="1"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2018年</c:v>
                </c:pt>
                <c:pt idx="1">
                  <c:v>2019年</c:v>
                </c:pt>
                <c:pt idx="2">
                  <c:v>2020年</c:v>
                </c:pt>
                <c:pt idx="3">
                  <c:v>2021年</c:v>
                </c:pt>
                <c:pt idx="4">
                  <c:v>2022年</c:v>
                </c:pt>
                <c:pt idx="5">
                  <c:v>2023年</c:v>
                </c:pt>
              </c:strCache>
            </c:strRef>
          </c:cat>
          <c:val>
            <c:numRef>
              <c:f>Sheet1!$B$2:$B$7</c:f>
              <c:numCache>
                <c:formatCode>General</c:formatCode>
                <c:ptCount val="6"/>
                <c:pt idx="0">
                  <c:v>11</c:v>
                </c:pt>
                <c:pt idx="1">
                  <c:v>1</c:v>
                </c:pt>
                <c:pt idx="2">
                  <c:v>2</c:v>
                </c:pt>
                <c:pt idx="3">
                  <c:v>1</c:v>
                </c:pt>
                <c:pt idx="4">
                  <c:v>17</c:v>
                </c:pt>
                <c:pt idx="5">
                  <c:v>8</c:v>
                </c:pt>
              </c:numCache>
            </c:numRef>
          </c:val>
          <c:extLst xmlns:c16r2="http://schemas.microsoft.com/office/drawing/2015/06/chart">
            <c:ext xmlns:c16="http://schemas.microsoft.com/office/drawing/2014/chart" uri="{C3380CC4-5D6E-409C-BE32-E72D297353CC}">
              <c16:uniqueId val="{00000000-9114-4FE9-B0DC-98FA4FA3EEF5}"/>
            </c:ext>
          </c:extLst>
        </c:ser>
        <c:dLbls>
          <c:showVal val="1"/>
        </c:dLbls>
        <c:gapWidth val="219"/>
        <c:overlap val="-27"/>
        <c:axId val="211779584"/>
        <c:axId val="211781120"/>
      </c:barChart>
      <c:catAx>
        <c:axId val="211779584"/>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211781120"/>
        <c:crosses val="autoZero"/>
        <c:auto val="1"/>
        <c:lblAlgn val="ctr"/>
        <c:lblOffset val="100"/>
      </c:catAx>
      <c:valAx>
        <c:axId val="2117811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endParaRPr lang="zh-CN"/>
          </a:p>
        </c:txPr>
        <c:crossAx val="2117795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050" b="1"/>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ysClr val="windowText" lastClr="000000"/>
                </a:solidFill>
                <a:latin typeface="+mn-ea"/>
                <a:ea typeface="+mn-ea"/>
                <a:cs typeface="+mn-ea"/>
              </a:rPr>
              <a:t>2018</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20</a:t>
            </a:r>
            <a:r>
              <a:rPr lang="zh-CN" altLang="en-US" b="1">
                <a:solidFill>
                  <a:sysClr val="windowText" lastClr="000000"/>
                </a:solidFill>
                <a:latin typeface="+mn-ea"/>
                <a:ea typeface="+mn-ea"/>
                <a:cs typeface="+mn-ea"/>
              </a:rPr>
              <a:t>日至</a:t>
            </a:r>
            <a:r>
              <a:rPr lang="en-US" altLang="zh-CN" b="1">
                <a:solidFill>
                  <a:sysClr val="windowText" lastClr="000000"/>
                </a:solidFill>
                <a:latin typeface="+mn-ea"/>
                <a:ea typeface="+mn-ea"/>
                <a:cs typeface="+mn-ea"/>
              </a:rPr>
              <a:t>2023</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19</a:t>
            </a:r>
            <a:r>
              <a:rPr lang="zh-CN" altLang="en-US" b="1">
                <a:solidFill>
                  <a:sysClr val="windowText" lastClr="000000"/>
                </a:solidFill>
                <a:latin typeface="+mn-ea"/>
                <a:ea typeface="+mn-ea"/>
                <a:cs typeface="+mn-ea"/>
              </a:rPr>
              <a:t>日</a:t>
            </a:r>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ysClr val="windowText" lastClr="000000"/>
                </a:solidFill>
                <a:latin typeface="+mn-ea"/>
                <a:ea typeface="+mn-ea"/>
                <a:cs typeface="+mn-ea"/>
              </a:rPr>
              <a:t>各类案件收案数量及占比</a:t>
            </a:r>
          </a:p>
        </c:rich>
      </c:tx>
      <c:spPr>
        <a:noFill/>
        <a:ln>
          <a:noFill/>
        </a:ln>
        <a:effectLst/>
      </c:spPr>
    </c:title>
    <c:plotArea>
      <c:layout/>
      <c:pieChart>
        <c:varyColors val="1"/>
        <c:ser>
          <c:idx val="0"/>
          <c:order val="0"/>
          <c:tx>
            <c:strRef>
              <c:f>Sheet1!$B$1</c:f>
              <c:strCache>
                <c:ptCount val="1"/>
                <c:pt idx="0">
                  <c:v>2018年8月20日至2023年6月30日受理各类案件比例</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A24-4465-8722-8DDE87C3144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A24-4465-8722-8DDE87C3144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A24-4465-8722-8DDE87C3144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A24-4465-8722-8DDE87C3144A}"/>
              </c:ext>
            </c:extLst>
          </c:dPt>
          <c:dLbls>
            <c:dLbl>
              <c:idx val="0"/>
              <c:tx>
                <c:rich>
                  <a:bodyPr/>
                  <a:lstStyle/>
                  <a:p>
                    <a:r>
                      <a:rPr lang="en-US" altLang="zh-CN"/>
                      <a:t>18969, 49.10%</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A24-4465-8722-8DDE87C3144A}"/>
                </c:ext>
              </c:extLst>
            </c:dLbl>
            <c:dLbl>
              <c:idx val="1"/>
              <c:tx>
                <c:rich>
                  <a:bodyPr/>
                  <a:lstStyle/>
                  <a:p>
                    <a:r>
                      <a:rPr lang="en-US" altLang="zh-CN"/>
                      <a:t>8011</a:t>
                    </a:r>
                    <a:r>
                      <a:rPr lang="en-US"/>
                      <a:t>, 20.</a:t>
                    </a:r>
                    <a:r>
                      <a:rPr lang="en-US" altLang="zh-CN"/>
                      <a:t>74</a:t>
                    </a:r>
                    <a:r>
                      <a:rPr lang="en-US"/>
                      <a:t>%</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3A24-4465-8722-8DDE87C3144A}"/>
                </c:ext>
              </c:extLst>
            </c:dLbl>
            <c:dLbl>
              <c:idx val="2"/>
              <c:tx>
                <c:rich>
                  <a:bodyPr/>
                  <a:lstStyle/>
                  <a:p>
                    <a:r>
                      <a:rPr lang="en-US" altLang="zh-CN"/>
                      <a:t>5447, 14.11%</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3A24-4465-8722-8DDE87C3144A}"/>
                </c:ext>
              </c:extLst>
            </c:dLbl>
            <c:dLbl>
              <c:idx val="3"/>
              <c:tx>
                <c:rich>
                  <a:bodyPr/>
                  <a:lstStyle/>
                  <a:p>
                    <a:r>
                      <a:rPr lang="en-US" altLang="zh-CN"/>
                      <a:t>6185, 16.01%</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3A24-4465-8722-8DDE87C3144A}"/>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bestFit"/>
            <c:showVal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一审案件</c:v>
                </c:pt>
                <c:pt idx="1">
                  <c:v>二审案件</c:v>
                </c:pt>
                <c:pt idx="2">
                  <c:v>首次执行案件</c:v>
                </c:pt>
                <c:pt idx="3">
                  <c:v>其他案件（单位：件）</c:v>
                </c:pt>
              </c:strCache>
            </c:strRef>
          </c:cat>
          <c:val>
            <c:numRef>
              <c:f>Sheet1!$B$2:$B$5</c:f>
              <c:numCache>
                <c:formatCode>General</c:formatCode>
                <c:ptCount val="4"/>
                <c:pt idx="0">
                  <c:v>18863</c:v>
                </c:pt>
                <c:pt idx="1">
                  <c:v>7608</c:v>
                </c:pt>
                <c:pt idx="2">
                  <c:v>5212</c:v>
                </c:pt>
                <c:pt idx="3">
                  <c:v>6055</c:v>
                </c:pt>
              </c:numCache>
            </c:numRef>
          </c:val>
          <c:extLst xmlns:c16r2="http://schemas.microsoft.com/office/drawing/2015/06/chart">
            <c:ext xmlns:c16="http://schemas.microsoft.com/office/drawing/2014/chart" uri="{C3380CC4-5D6E-409C-BE32-E72D297353CC}">
              <c16:uniqueId val="{00000008-3A24-4465-8722-8DDE87C3144A}"/>
            </c:ext>
          </c:extLst>
        </c:ser>
        <c:dLbls>
          <c:showVal val="1"/>
          <c:showPercent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ysClr val="windowText" lastClr="000000"/>
                </a:solidFill>
                <a:latin typeface="+mn-ea"/>
                <a:ea typeface="+mn-ea"/>
                <a:cs typeface="+mn-ea"/>
              </a:rPr>
              <a:t>2018</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20</a:t>
            </a:r>
            <a:r>
              <a:rPr lang="zh-CN" altLang="en-US" b="1">
                <a:solidFill>
                  <a:sysClr val="windowText" lastClr="000000"/>
                </a:solidFill>
                <a:latin typeface="+mn-ea"/>
                <a:ea typeface="+mn-ea"/>
                <a:cs typeface="+mn-ea"/>
              </a:rPr>
              <a:t>日至</a:t>
            </a:r>
            <a:r>
              <a:rPr lang="en-US" altLang="zh-CN" b="1">
                <a:solidFill>
                  <a:sysClr val="windowText" lastClr="000000"/>
                </a:solidFill>
                <a:latin typeface="+mn-ea"/>
                <a:ea typeface="+mn-ea"/>
                <a:cs typeface="+mn-ea"/>
              </a:rPr>
              <a:t>2023</a:t>
            </a:r>
            <a:r>
              <a:rPr lang="zh-CN" altLang="en-US" b="1">
                <a:solidFill>
                  <a:sysClr val="windowText" lastClr="000000"/>
                </a:solidFill>
                <a:latin typeface="+mn-ea"/>
                <a:ea typeface="+mn-ea"/>
                <a:cs typeface="+mn-ea"/>
              </a:rPr>
              <a:t>年</a:t>
            </a:r>
            <a:r>
              <a:rPr lang="en-US" altLang="zh-CN" b="1">
                <a:solidFill>
                  <a:sysClr val="windowText" lastClr="000000"/>
                </a:solidFill>
                <a:latin typeface="+mn-ea"/>
                <a:ea typeface="+mn-ea"/>
                <a:cs typeface="+mn-ea"/>
              </a:rPr>
              <a:t>8</a:t>
            </a:r>
            <a:r>
              <a:rPr lang="zh-CN" altLang="en-US" b="1">
                <a:solidFill>
                  <a:sysClr val="windowText" lastClr="000000"/>
                </a:solidFill>
                <a:latin typeface="+mn-ea"/>
                <a:ea typeface="+mn-ea"/>
                <a:cs typeface="+mn-ea"/>
              </a:rPr>
              <a:t>月</a:t>
            </a:r>
            <a:r>
              <a:rPr lang="en-US" altLang="zh-CN" b="1">
                <a:solidFill>
                  <a:sysClr val="windowText" lastClr="000000"/>
                </a:solidFill>
                <a:latin typeface="+mn-ea"/>
                <a:ea typeface="+mn-ea"/>
                <a:cs typeface="+mn-ea"/>
              </a:rPr>
              <a:t>19</a:t>
            </a:r>
            <a:r>
              <a:rPr lang="zh-CN" altLang="en-US" b="1">
                <a:solidFill>
                  <a:sysClr val="windowText" lastClr="000000"/>
                </a:solidFill>
                <a:latin typeface="+mn-ea"/>
                <a:ea typeface="+mn-ea"/>
                <a:cs typeface="+mn-ea"/>
              </a:rPr>
              <a:t>日</a:t>
            </a:r>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ysClr val="windowText" lastClr="000000"/>
                </a:solidFill>
                <a:latin typeface="+mn-ea"/>
                <a:ea typeface="+mn-ea"/>
                <a:cs typeface="+mn-ea"/>
              </a:rPr>
              <a:t>收案标的额变化</a:t>
            </a:r>
          </a:p>
        </c:rich>
      </c:tx>
      <c:layout>
        <c:manualLayout>
          <c:xMode val="edge"/>
          <c:yMode val="edge"/>
          <c:x val="0.230974477958237"/>
          <c:y val="2.4385964912280688E-2"/>
        </c:manualLayout>
      </c:layout>
      <c:spPr>
        <a:noFill/>
        <a:ln>
          <a:noFill/>
        </a:ln>
        <a:effectLst/>
      </c:spPr>
    </c:title>
    <c:plotArea>
      <c:layout/>
      <c:barChart>
        <c:barDir val="col"/>
        <c:grouping val="clustered"/>
        <c:ser>
          <c:idx val="0"/>
          <c:order val="0"/>
          <c:tx>
            <c:strRef>
              <c:f>Sheet1!$B$1</c:f>
              <c:strCache>
                <c:ptCount val="1"/>
                <c:pt idx="0">
                  <c:v>收案标的额（单位：亿元）</c:v>
                </c:pt>
              </c:strCache>
            </c:strRef>
          </c:tx>
          <c:spPr>
            <a:solidFill>
              <a:schemeClr val="accent1"/>
            </a:solidFill>
            <a:ln>
              <a:noFill/>
            </a:ln>
            <a:effectLst/>
          </c:spPr>
          <c:dLbls>
            <c:dLbl>
              <c:idx val="2"/>
              <c:tx>
                <c:rich>
                  <a:bodyPr/>
                  <a:lstStyle/>
                  <a:p>
                    <a:r>
                      <a:rPr lang="en-US" altLang="zh-CN"/>
                      <a:t>2249.14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559-4AA5-9533-F7250813A2BE}"/>
                </c:ext>
              </c:extLst>
            </c:dLbl>
            <c:dLbl>
              <c:idx val="3"/>
              <c:tx>
                <c:rich>
                  <a:bodyPr/>
                  <a:lstStyle/>
                  <a:p>
                    <a:r>
                      <a:rPr lang="en-US" altLang="zh-CN"/>
                      <a:t>2193.58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559-4AA5-9533-F7250813A2BE}"/>
                </c:ext>
              </c:extLst>
            </c:dLbl>
            <c:dLbl>
              <c:idx val="4"/>
              <c:tx>
                <c:rich>
                  <a:bodyPr/>
                  <a:lstStyle/>
                  <a:p>
                    <a:r>
                      <a:rPr lang="en-US" altLang="zh-CN"/>
                      <a:t>2682.20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559-4AA5-9533-F7250813A2BE}"/>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1154.3899999999999</c:v>
                </c:pt>
                <c:pt idx="1">
                  <c:v>1995.51</c:v>
                </c:pt>
                <c:pt idx="2">
                  <c:v>2244.02</c:v>
                </c:pt>
                <c:pt idx="3">
                  <c:v>2208.08</c:v>
                </c:pt>
                <c:pt idx="4">
                  <c:v>2332.96</c:v>
                </c:pt>
              </c:numCache>
            </c:numRef>
          </c:val>
          <c:extLst xmlns:c16r2="http://schemas.microsoft.com/office/drawing/2015/06/chart">
            <c:ext xmlns:c16="http://schemas.microsoft.com/office/drawing/2014/chart" uri="{C3380CC4-5D6E-409C-BE32-E72D297353CC}">
              <c16:uniqueId val="{00000003-3559-4AA5-9533-F7250813A2BE}"/>
            </c:ext>
          </c:extLst>
        </c:ser>
        <c:dLbls>
          <c:showVal val="1"/>
        </c:dLbls>
        <c:gapWidth val="219"/>
        <c:overlap val="-27"/>
        <c:axId val="208954880"/>
        <c:axId val="208956416"/>
      </c:barChart>
      <c:catAx>
        <c:axId val="20895488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crossAx val="208956416"/>
        <c:crosses val="autoZero"/>
        <c:auto val="1"/>
        <c:lblAlgn val="ctr"/>
        <c:lblOffset val="100"/>
      </c:catAx>
      <c:valAx>
        <c:axId val="2089564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895488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260" b="1" i="0" u="none" strike="noStrike" kern="1200" spc="0" baseline="0">
                <a:solidFill>
                  <a:sysClr val="windowText" lastClr="000000"/>
                </a:solidFill>
                <a:latin typeface="+mn-lt"/>
                <a:ea typeface="+mn-ea"/>
                <a:cs typeface="+mn-cs"/>
              </a:defRPr>
            </a:pPr>
            <a:r>
              <a:rPr lang="en-US" altLang="zh-CN" sz="1400" b="1">
                <a:solidFill>
                  <a:sysClr val="windowText" lastClr="000000"/>
                </a:solidFill>
                <a:latin typeface="+mn-ea"/>
                <a:ea typeface="+mn-ea"/>
                <a:cs typeface="+mn-ea"/>
              </a:rPr>
              <a:t>2018</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20</a:t>
            </a:r>
            <a:r>
              <a:rPr lang="zh-CN" altLang="en-US" sz="1400" b="1">
                <a:solidFill>
                  <a:sysClr val="windowText" lastClr="000000"/>
                </a:solidFill>
                <a:latin typeface="+mn-ea"/>
                <a:ea typeface="+mn-ea"/>
                <a:cs typeface="+mn-ea"/>
              </a:rPr>
              <a:t>日至</a:t>
            </a:r>
            <a:r>
              <a:rPr lang="en-US" altLang="zh-CN" sz="1400" b="1">
                <a:solidFill>
                  <a:sysClr val="windowText" lastClr="000000"/>
                </a:solidFill>
                <a:latin typeface="+mn-ea"/>
                <a:ea typeface="+mn-ea"/>
                <a:cs typeface="+mn-ea"/>
              </a:rPr>
              <a:t>2023</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19</a:t>
            </a:r>
            <a:r>
              <a:rPr lang="zh-CN" altLang="en-US" sz="1400" b="1">
                <a:solidFill>
                  <a:sysClr val="windowText" lastClr="000000"/>
                </a:solidFill>
                <a:latin typeface="+mn-ea"/>
                <a:ea typeface="+mn-ea"/>
                <a:cs typeface="+mn-ea"/>
              </a:rPr>
              <a:t>日</a:t>
            </a:r>
          </a:p>
          <a:p>
            <a:pPr defTabSz="914400">
              <a:defRPr lang="zh-CN" sz="1260" b="1" i="0" u="none" strike="noStrike" kern="1200" spc="0" baseline="0">
                <a:solidFill>
                  <a:sysClr val="windowText" lastClr="000000"/>
                </a:solidFill>
                <a:latin typeface="+mn-lt"/>
                <a:ea typeface="+mn-ea"/>
                <a:cs typeface="+mn-cs"/>
              </a:defRPr>
            </a:pPr>
            <a:r>
              <a:rPr lang="zh-CN" altLang="en-US" sz="1400" b="1">
                <a:solidFill>
                  <a:sysClr val="windowText" lastClr="000000"/>
                </a:solidFill>
                <a:latin typeface="+mn-ea"/>
                <a:ea typeface="+mn-ea"/>
                <a:cs typeface="+mn-ea"/>
              </a:rPr>
              <a:t>涉外、涉港澳台案件收结案数量变化</a:t>
            </a:r>
          </a:p>
        </c:rich>
      </c:tx>
      <c:spPr>
        <a:noFill/>
        <a:ln>
          <a:noFill/>
        </a:ln>
        <a:effectLst/>
      </c:spPr>
    </c:title>
    <c:plotArea>
      <c:layout/>
      <c:barChart>
        <c:barDir val="col"/>
        <c:grouping val="clustered"/>
        <c:ser>
          <c:idx val="0"/>
          <c:order val="0"/>
          <c:tx>
            <c:strRef>
              <c:f>Sheet1!$B$1</c:f>
              <c:strCache>
                <c:ptCount val="1"/>
                <c:pt idx="0">
                  <c:v>收案数</c:v>
                </c:pt>
              </c:strCache>
            </c:strRef>
          </c:tx>
          <c:spPr>
            <a:solidFill>
              <a:schemeClr val="accent1"/>
            </a:solidFill>
            <a:ln>
              <a:noFill/>
            </a:ln>
            <a:effectLst/>
          </c:spPr>
          <c:dLbls>
            <c:dLbl>
              <c:idx val="4"/>
              <c:tx>
                <c:rich>
                  <a:bodyPr rot="0" spcFirstLastPara="0" vertOverflow="ellipsis" vert="horz" wrap="square" lIns="38100" tIns="19050" rIns="38100" bIns="19050" anchor="ctr" anchorCtr="1"/>
                  <a:lstStyle/>
                  <a:p>
                    <a:pPr defTabSz="914400">
                      <a:defRPr lang="zh-CN" sz="1050" b="1" i="0" u="none" strike="noStrike" kern="1200" baseline="0">
                        <a:solidFill>
                          <a:sysClr val="windowText" lastClr="000000"/>
                        </a:solidFill>
                        <a:latin typeface="+mn-lt"/>
                        <a:ea typeface="+mn-ea"/>
                        <a:cs typeface="+mn-cs"/>
                      </a:defRPr>
                    </a:pPr>
                    <a:r>
                      <a:rPr lang="en-US" altLang="zh-CN"/>
                      <a:t>87</a:t>
                    </a:r>
                  </a:p>
                </c:rich>
              </c:tx>
              <c:spPr>
                <a:noFill/>
                <a:ln>
                  <a:noFill/>
                </a:ln>
                <a:effectLst/>
              </c:spPr>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465-4D5B-A435-CC172B02F0C3}"/>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85</c:v>
                </c:pt>
                <c:pt idx="1">
                  <c:v>99</c:v>
                </c:pt>
                <c:pt idx="2">
                  <c:v>70</c:v>
                </c:pt>
                <c:pt idx="3">
                  <c:v>74</c:v>
                </c:pt>
                <c:pt idx="4">
                  <c:v>73</c:v>
                </c:pt>
              </c:numCache>
            </c:numRef>
          </c:val>
          <c:extLst xmlns:c16r2="http://schemas.microsoft.com/office/drawing/2015/06/chart">
            <c:ext xmlns:c16="http://schemas.microsoft.com/office/drawing/2014/chart" uri="{C3380CC4-5D6E-409C-BE32-E72D297353CC}">
              <c16:uniqueId val="{00000001-3465-4D5B-A435-CC172B02F0C3}"/>
            </c:ext>
          </c:extLst>
        </c:ser>
        <c:ser>
          <c:idx val="1"/>
          <c:order val="1"/>
          <c:tx>
            <c:strRef>
              <c:f>Sheet1!$C$1</c:f>
              <c:strCache>
                <c:ptCount val="1"/>
                <c:pt idx="0">
                  <c:v>结案数    （单位：件）</c:v>
                </c:pt>
              </c:strCache>
            </c:strRef>
          </c:tx>
          <c:spPr>
            <a:solidFill>
              <a:schemeClr val="accent2"/>
            </a:solidFill>
            <a:ln>
              <a:noFill/>
            </a:ln>
            <a:effectLst/>
          </c:spPr>
          <c:dLbls>
            <c:dLbl>
              <c:idx val="4"/>
              <c:tx>
                <c:rich>
                  <a:bodyPr rot="0" spcFirstLastPara="0" vertOverflow="ellipsis" vert="horz" wrap="square" lIns="38100" tIns="19050" rIns="38100" bIns="19050" anchor="ctr" anchorCtr="1"/>
                  <a:lstStyle/>
                  <a:p>
                    <a:pPr defTabSz="914400">
                      <a:defRPr lang="zh-CN" sz="1050" b="1" i="0" u="none" strike="noStrike" kern="1200" baseline="0">
                        <a:solidFill>
                          <a:sysClr val="windowText" lastClr="000000"/>
                        </a:solidFill>
                        <a:latin typeface="+mn-lt"/>
                        <a:ea typeface="+mn-ea"/>
                        <a:cs typeface="+mn-cs"/>
                      </a:defRPr>
                    </a:pPr>
                    <a:r>
                      <a:rPr lang="en-US" altLang="zh-CN"/>
                      <a:t>97</a:t>
                    </a:r>
                  </a:p>
                </c:rich>
              </c:tx>
              <c:spPr>
                <a:noFill/>
                <a:ln>
                  <a:noFill/>
                </a:ln>
                <a:effectLst/>
              </c:spPr>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465-4D5B-A435-CC172B02F0C3}"/>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44</c:v>
                </c:pt>
                <c:pt idx="1">
                  <c:v>72</c:v>
                </c:pt>
                <c:pt idx="2">
                  <c:v>76</c:v>
                </c:pt>
                <c:pt idx="3">
                  <c:v>90</c:v>
                </c:pt>
                <c:pt idx="4">
                  <c:v>79</c:v>
                </c:pt>
              </c:numCache>
            </c:numRef>
          </c:val>
          <c:extLst xmlns:c16r2="http://schemas.microsoft.com/office/drawing/2015/06/chart">
            <c:ext xmlns:c16="http://schemas.microsoft.com/office/drawing/2014/chart" uri="{C3380CC4-5D6E-409C-BE32-E72D297353CC}">
              <c16:uniqueId val="{00000003-3465-4D5B-A435-CC172B02F0C3}"/>
            </c:ext>
          </c:extLst>
        </c:ser>
        <c:dLbls>
          <c:showVal val="1"/>
        </c:dLbls>
        <c:gapWidth val="219"/>
        <c:overlap val="-27"/>
        <c:axId val="186852096"/>
        <c:axId val="186853632"/>
      </c:barChart>
      <c:catAx>
        <c:axId val="18685209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crossAx val="186853632"/>
        <c:crosses val="autoZero"/>
        <c:auto val="1"/>
        <c:lblAlgn val="ctr"/>
        <c:lblOffset val="100"/>
      </c:catAx>
      <c:valAx>
        <c:axId val="186853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050" b="1" i="0" u="none" strike="noStrike" kern="1200" baseline="0">
                <a:solidFill>
                  <a:sysClr val="windowText" lastClr="000000"/>
                </a:solidFill>
                <a:latin typeface="+mn-lt"/>
                <a:ea typeface="+mn-ea"/>
                <a:cs typeface="+mn-cs"/>
              </a:defRPr>
            </a:pPr>
            <a:endParaRPr lang="zh-CN"/>
          </a:p>
        </c:txPr>
        <c:crossAx val="18685209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050" b="1">
          <a:solidFill>
            <a:sysClr val="windowText" lastClr="000000"/>
          </a:solidFill>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b="1">
                <a:solidFill>
                  <a:sysClr val="windowText" lastClr="000000"/>
                </a:solidFill>
                <a:latin typeface="+mn-ea"/>
                <a:cs typeface="+mn-ea"/>
              </a:rPr>
              <a:t>2018</a:t>
            </a:r>
            <a:r>
              <a:rPr lang="zh-CN" altLang="en-US" b="1">
                <a:solidFill>
                  <a:sysClr val="windowText" lastClr="000000"/>
                </a:solidFill>
                <a:latin typeface="+mn-ea"/>
                <a:cs typeface="+mn-ea"/>
              </a:rPr>
              <a:t>年</a:t>
            </a:r>
            <a:r>
              <a:rPr lang="en-US" altLang="zh-CN" b="1">
                <a:solidFill>
                  <a:sysClr val="windowText" lastClr="000000"/>
                </a:solidFill>
                <a:latin typeface="+mn-ea"/>
                <a:cs typeface="+mn-ea"/>
              </a:rPr>
              <a:t>8</a:t>
            </a:r>
            <a:r>
              <a:rPr lang="zh-CN" altLang="en-US" b="1">
                <a:solidFill>
                  <a:sysClr val="windowText" lastClr="000000"/>
                </a:solidFill>
                <a:latin typeface="+mn-ea"/>
                <a:cs typeface="+mn-ea"/>
              </a:rPr>
              <a:t>月</a:t>
            </a:r>
            <a:r>
              <a:rPr lang="en-US" altLang="zh-CN" b="1">
                <a:solidFill>
                  <a:sysClr val="windowText" lastClr="000000"/>
                </a:solidFill>
                <a:latin typeface="+mn-ea"/>
                <a:cs typeface="+mn-ea"/>
              </a:rPr>
              <a:t>20</a:t>
            </a:r>
            <a:r>
              <a:rPr lang="zh-CN" altLang="en-US" b="1">
                <a:solidFill>
                  <a:sysClr val="windowText" lastClr="000000"/>
                </a:solidFill>
                <a:latin typeface="+mn-ea"/>
                <a:cs typeface="+mn-ea"/>
              </a:rPr>
              <a:t>日至</a:t>
            </a:r>
            <a:r>
              <a:rPr lang="en-US" altLang="zh-CN" b="1">
                <a:solidFill>
                  <a:sysClr val="windowText" lastClr="000000"/>
                </a:solidFill>
                <a:latin typeface="+mn-ea"/>
                <a:cs typeface="+mn-ea"/>
              </a:rPr>
              <a:t>2023</a:t>
            </a:r>
            <a:r>
              <a:rPr lang="zh-CN" altLang="en-US" b="1">
                <a:solidFill>
                  <a:sysClr val="windowText" lastClr="000000"/>
                </a:solidFill>
                <a:latin typeface="+mn-ea"/>
                <a:cs typeface="+mn-ea"/>
              </a:rPr>
              <a:t>年</a:t>
            </a:r>
            <a:r>
              <a:rPr lang="en-US" altLang="zh-CN" b="1">
                <a:solidFill>
                  <a:sysClr val="windowText" lastClr="000000"/>
                </a:solidFill>
                <a:latin typeface="+mn-ea"/>
                <a:cs typeface="+mn-ea"/>
              </a:rPr>
              <a:t>8</a:t>
            </a:r>
            <a:r>
              <a:rPr lang="zh-CN" altLang="en-US" b="1">
                <a:solidFill>
                  <a:sysClr val="windowText" lastClr="000000"/>
                </a:solidFill>
                <a:latin typeface="+mn-ea"/>
                <a:cs typeface="+mn-ea"/>
              </a:rPr>
              <a:t>月</a:t>
            </a:r>
            <a:r>
              <a:rPr lang="en-US" altLang="zh-CN" b="1">
                <a:solidFill>
                  <a:sysClr val="windowText" lastClr="000000"/>
                </a:solidFill>
                <a:latin typeface="+mn-ea"/>
                <a:cs typeface="+mn-ea"/>
              </a:rPr>
              <a:t>19</a:t>
            </a:r>
            <a:r>
              <a:rPr lang="zh-CN" altLang="en-US" b="1">
                <a:solidFill>
                  <a:sysClr val="windowText" lastClr="000000"/>
                </a:solidFill>
                <a:latin typeface="+mn-ea"/>
                <a:cs typeface="+mn-ea"/>
              </a:rPr>
              <a:t>日</a:t>
            </a:r>
          </a:p>
          <a:p>
            <a:pPr defTabSz="914400">
              <a:defRPr lang="zh-CN" sz="1400" b="0" i="0" u="none" strike="noStrike" kern="1200" spc="0" baseline="0">
                <a:solidFill>
                  <a:sysClr val="windowText" lastClr="000000"/>
                </a:solidFill>
                <a:latin typeface="+mn-lt"/>
                <a:ea typeface="+mn-ea"/>
                <a:cs typeface="+mn-cs"/>
              </a:defRPr>
            </a:pPr>
            <a:r>
              <a:rPr lang="zh-CN" altLang="en-US" b="1">
                <a:solidFill>
                  <a:sysClr val="windowText" lastClr="000000"/>
                </a:solidFill>
                <a:latin typeface="+mn-ea"/>
                <a:cs typeface="+mn-ea"/>
              </a:rPr>
              <a:t>首次执行案件收案数量与申请执行标的额变化</a:t>
            </a:r>
          </a:p>
        </c:rich>
      </c:tx>
      <c:spPr>
        <a:noFill/>
        <a:ln>
          <a:noFill/>
        </a:ln>
        <a:effectLst/>
      </c:spPr>
    </c:title>
    <c:plotArea>
      <c:layout/>
      <c:barChart>
        <c:barDir val="col"/>
        <c:grouping val="clustered"/>
        <c:ser>
          <c:idx val="0"/>
          <c:order val="0"/>
          <c:tx>
            <c:strRef>
              <c:f>Sheet1!$B$1</c:f>
              <c:strCache>
                <c:ptCount val="1"/>
                <c:pt idx="0">
                  <c:v>案件数量（单位：件）</c:v>
                </c:pt>
              </c:strCache>
            </c:strRef>
          </c:tx>
          <c:spPr>
            <a:solidFill>
              <a:schemeClr val="accent1"/>
            </a:solidFill>
            <a:ln>
              <a:noFill/>
            </a:ln>
            <a:effectLst/>
          </c:spPr>
          <c:dLbls>
            <c:dLbl>
              <c:idx val="2"/>
              <c:layout>
                <c:manualLayout>
                  <c:x val="6.4523066996451271E-3"/>
                  <c:y val="2.9182879377431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059-40EC-A039-B508207BAD91}"/>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337</c:v>
                </c:pt>
                <c:pt idx="1">
                  <c:v>778</c:v>
                </c:pt>
                <c:pt idx="2">
                  <c:v>697</c:v>
                </c:pt>
                <c:pt idx="3">
                  <c:v>1414</c:v>
                </c:pt>
                <c:pt idx="4">
                  <c:v>2221</c:v>
                </c:pt>
              </c:numCache>
            </c:numRef>
          </c:val>
          <c:extLst xmlns:c16r2="http://schemas.microsoft.com/office/drawing/2015/06/chart">
            <c:ext xmlns:c16="http://schemas.microsoft.com/office/drawing/2014/chart" uri="{C3380CC4-5D6E-409C-BE32-E72D297353CC}">
              <c16:uniqueId val="{00000001-5059-40EC-A039-B508207BAD91}"/>
            </c:ext>
          </c:extLst>
        </c:ser>
        <c:gapWidth val="219"/>
        <c:overlap val="-27"/>
        <c:axId val="194938368"/>
        <c:axId val="194939904"/>
      </c:barChart>
      <c:lineChart>
        <c:grouping val="standard"/>
        <c:ser>
          <c:idx val="1"/>
          <c:order val="1"/>
          <c:tx>
            <c:strRef>
              <c:f>Sheet1!$C$1</c:f>
              <c:strCache>
                <c:ptCount val="1"/>
                <c:pt idx="0">
                  <c:v>申请执行标的金额（单位：亿元）</c:v>
                </c:pt>
              </c:strCache>
            </c:strRef>
          </c:tx>
          <c:spPr>
            <a:ln w="28575" cap="rnd">
              <a:solidFill>
                <a:schemeClr val="accent2"/>
              </a:solidFill>
              <a:round/>
            </a:ln>
            <a:effectLst/>
          </c:spPr>
          <c:marker>
            <c:symbol val="none"/>
          </c:marker>
          <c:dLbls>
            <c:dLbl>
              <c:idx val="2"/>
              <c:layout>
                <c:manualLayout>
                  <c:x val="-4.3681738120257864E-2"/>
                  <c:y val="-3.296871409427860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59-40EC-A039-B508207BAD91}"/>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163.16999999999999</c:v>
                </c:pt>
                <c:pt idx="1">
                  <c:v>533.26</c:v>
                </c:pt>
                <c:pt idx="2">
                  <c:v>840.07</c:v>
                </c:pt>
                <c:pt idx="3">
                  <c:v>618.35999999999956</c:v>
                </c:pt>
                <c:pt idx="4" formatCode="0.00_ ">
                  <c:v>1403.76</c:v>
                </c:pt>
              </c:numCache>
            </c:numRef>
          </c:val>
          <c:extLst xmlns:c16r2="http://schemas.microsoft.com/office/drawing/2015/06/chart">
            <c:ext xmlns:c16="http://schemas.microsoft.com/office/drawing/2014/chart" uri="{C3380CC4-5D6E-409C-BE32-E72D297353CC}">
              <c16:uniqueId val="{00000003-5059-40EC-A039-B508207BAD91}"/>
            </c:ext>
          </c:extLst>
        </c:ser>
        <c:dLbls>
          <c:showVal val="1"/>
        </c:dLbls>
        <c:marker val="1"/>
        <c:axId val="194962176"/>
        <c:axId val="194963712"/>
      </c:lineChart>
      <c:catAx>
        <c:axId val="1949383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94939904"/>
        <c:crosses val="autoZero"/>
        <c:auto val="1"/>
        <c:lblAlgn val="ctr"/>
        <c:lblOffset val="100"/>
      </c:catAx>
      <c:valAx>
        <c:axId val="1949399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94938368"/>
        <c:crosses val="autoZero"/>
        <c:crossBetween val="between"/>
      </c:valAx>
      <c:catAx>
        <c:axId val="194962176"/>
        <c:scaling>
          <c:orientation val="minMax"/>
        </c:scaling>
        <c:delete val="1"/>
        <c:axPos val="b"/>
        <c:numFmt formatCode="General" sourceLinked="1"/>
        <c:majorTickMark val="none"/>
        <c:tickLblPos val="nextTo"/>
        <c:crossAx val="194963712"/>
        <c:crosses val="autoZero"/>
        <c:auto val="1"/>
        <c:lblAlgn val="ctr"/>
        <c:lblOffset val="100"/>
      </c:catAx>
      <c:valAx>
        <c:axId val="194963712"/>
        <c:scaling>
          <c:orientation val="minMax"/>
        </c:scaling>
        <c:axPos val="r"/>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94962176"/>
        <c:crosses val="max"/>
        <c:crossBetween val="between"/>
      </c:valAx>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320" b="0" i="0" u="none" strike="noStrike" kern="1200" spc="0" baseline="0">
                <a:solidFill>
                  <a:sysClr val="windowText" lastClr="000000"/>
                </a:solidFill>
                <a:latin typeface="+mn-lt"/>
                <a:ea typeface="+mn-ea"/>
                <a:cs typeface="+mn-cs"/>
              </a:defRPr>
            </a:pPr>
            <a:r>
              <a:rPr lang="en-US" altLang="zh-CN" sz="1320" b="1">
                <a:solidFill>
                  <a:sysClr val="windowText" lastClr="000000"/>
                </a:solidFill>
              </a:rPr>
              <a:t>2018</a:t>
            </a:r>
            <a:r>
              <a:rPr lang="zh-CN" altLang="en-US" sz="1320" b="1">
                <a:solidFill>
                  <a:sysClr val="windowText" lastClr="000000"/>
                </a:solidFill>
              </a:rPr>
              <a:t>年</a:t>
            </a:r>
            <a:r>
              <a:rPr lang="en-US" altLang="zh-CN" sz="1320" b="1">
                <a:solidFill>
                  <a:sysClr val="windowText" lastClr="000000"/>
                </a:solidFill>
              </a:rPr>
              <a:t>8</a:t>
            </a:r>
            <a:r>
              <a:rPr lang="zh-CN" altLang="en-US" sz="1320" b="1">
                <a:solidFill>
                  <a:sysClr val="windowText" lastClr="000000"/>
                </a:solidFill>
              </a:rPr>
              <a:t>月</a:t>
            </a:r>
            <a:r>
              <a:rPr lang="en-US" altLang="zh-CN" sz="1320" b="1">
                <a:solidFill>
                  <a:sysClr val="windowText" lastClr="000000"/>
                </a:solidFill>
              </a:rPr>
              <a:t>20</a:t>
            </a:r>
            <a:r>
              <a:rPr lang="zh-CN" altLang="en-US" sz="1320" b="1">
                <a:solidFill>
                  <a:sysClr val="windowText" lastClr="000000"/>
                </a:solidFill>
              </a:rPr>
              <a:t>日至</a:t>
            </a:r>
            <a:r>
              <a:rPr lang="en-US" altLang="zh-CN" sz="1320" b="1">
                <a:solidFill>
                  <a:sysClr val="windowText" lastClr="000000"/>
                </a:solidFill>
              </a:rPr>
              <a:t>2023</a:t>
            </a:r>
            <a:r>
              <a:rPr lang="zh-CN" altLang="en-US" sz="1320" b="1">
                <a:solidFill>
                  <a:sysClr val="windowText" lastClr="000000"/>
                </a:solidFill>
              </a:rPr>
              <a:t>年</a:t>
            </a:r>
            <a:r>
              <a:rPr lang="en-US" altLang="zh-CN" sz="1320" b="1">
                <a:solidFill>
                  <a:sysClr val="windowText" lastClr="000000"/>
                </a:solidFill>
              </a:rPr>
              <a:t>8</a:t>
            </a:r>
            <a:r>
              <a:rPr lang="zh-CN" altLang="en-US" sz="1320" b="1">
                <a:solidFill>
                  <a:sysClr val="windowText" lastClr="000000"/>
                </a:solidFill>
              </a:rPr>
              <a:t>月</a:t>
            </a:r>
            <a:r>
              <a:rPr lang="en-US" altLang="zh-CN" sz="1320" b="1">
                <a:solidFill>
                  <a:sysClr val="windowText" lastClr="000000"/>
                </a:solidFill>
              </a:rPr>
              <a:t>19</a:t>
            </a:r>
            <a:r>
              <a:rPr lang="zh-CN" altLang="en-US" sz="1320" b="1">
                <a:solidFill>
                  <a:sysClr val="windowText" lastClr="000000"/>
                </a:solidFill>
              </a:rPr>
              <a:t>日</a:t>
            </a:r>
          </a:p>
          <a:p>
            <a:pPr defTabSz="914400">
              <a:defRPr lang="zh-CN" sz="1320" b="0" i="0" u="none" strike="noStrike" kern="1200" spc="0" baseline="0">
                <a:solidFill>
                  <a:sysClr val="windowText" lastClr="000000"/>
                </a:solidFill>
                <a:latin typeface="+mn-lt"/>
                <a:ea typeface="+mn-ea"/>
                <a:cs typeface="+mn-cs"/>
              </a:defRPr>
            </a:pPr>
            <a:r>
              <a:rPr lang="zh-CN" altLang="en-US" sz="1320" b="1">
                <a:solidFill>
                  <a:sysClr val="windowText" lastClr="000000"/>
                </a:solidFill>
              </a:rPr>
              <a:t>执行案件结案数量与执行到位金额变化</a:t>
            </a:r>
          </a:p>
        </c:rich>
      </c:tx>
      <c:spPr>
        <a:noFill/>
        <a:ln>
          <a:noFill/>
        </a:ln>
        <a:effectLst/>
      </c:spPr>
    </c:title>
    <c:plotArea>
      <c:layout/>
      <c:barChart>
        <c:barDir val="col"/>
        <c:grouping val="clustered"/>
        <c:ser>
          <c:idx val="0"/>
          <c:order val="0"/>
          <c:tx>
            <c:strRef>
              <c:f>Sheet1!$B$1</c:f>
              <c:strCache>
                <c:ptCount val="1"/>
                <c:pt idx="0">
                  <c:v>结案数（单位：件）</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240</c:v>
                </c:pt>
                <c:pt idx="1">
                  <c:v>694</c:v>
                </c:pt>
                <c:pt idx="2">
                  <c:v>603</c:v>
                </c:pt>
                <c:pt idx="3">
                  <c:v>914</c:v>
                </c:pt>
                <c:pt idx="4">
                  <c:v>2728</c:v>
                </c:pt>
              </c:numCache>
            </c:numRef>
          </c:val>
          <c:extLst xmlns:c16r2="http://schemas.microsoft.com/office/drawing/2015/06/chart">
            <c:ext xmlns:c16="http://schemas.microsoft.com/office/drawing/2014/chart" uri="{C3380CC4-5D6E-409C-BE32-E72D297353CC}">
              <c16:uniqueId val="{00000000-58A8-41E6-8DF7-813970C80DF0}"/>
            </c:ext>
          </c:extLst>
        </c:ser>
        <c:dLbls>
          <c:showVal val="1"/>
        </c:dLbls>
        <c:gapWidth val="219"/>
        <c:overlap val="-27"/>
        <c:axId val="194872832"/>
        <c:axId val="194874368"/>
      </c:barChart>
      <c:lineChart>
        <c:grouping val="standard"/>
        <c:ser>
          <c:idx val="1"/>
          <c:order val="1"/>
          <c:tx>
            <c:strRef>
              <c:f>Sheet1!$C$1</c:f>
              <c:strCache>
                <c:ptCount val="1"/>
                <c:pt idx="0">
                  <c:v>执行到位金额（单位：亿元）</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ysClr val="windowText" lastClr="000000"/>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6.72</c:v>
                </c:pt>
                <c:pt idx="1">
                  <c:v>58.27</c:v>
                </c:pt>
                <c:pt idx="2">
                  <c:v>135.29</c:v>
                </c:pt>
                <c:pt idx="3" formatCode="0.00_ ">
                  <c:v>166.1</c:v>
                </c:pt>
                <c:pt idx="4">
                  <c:v>331.4</c:v>
                </c:pt>
              </c:numCache>
            </c:numRef>
          </c:val>
          <c:extLst xmlns:c16r2="http://schemas.microsoft.com/office/drawing/2015/06/chart">
            <c:ext xmlns:c16="http://schemas.microsoft.com/office/drawing/2014/chart" uri="{C3380CC4-5D6E-409C-BE32-E72D297353CC}">
              <c16:uniqueId val="{00000001-58A8-41E6-8DF7-813970C80DF0}"/>
            </c:ext>
          </c:extLst>
        </c:ser>
        <c:dLbls>
          <c:showVal val="1"/>
        </c:dLbls>
        <c:marker val="1"/>
        <c:axId val="194913024"/>
        <c:axId val="194914560"/>
      </c:lineChart>
      <c:catAx>
        <c:axId val="19487283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crossAx val="194874368"/>
        <c:crosses val="autoZero"/>
        <c:auto val="1"/>
        <c:lblAlgn val="ctr"/>
        <c:lblOffset val="100"/>
      </c:catAx>
      <c:valAx>
        <c:axId val="1948743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crossAx val="194872832"/>
        <c:crosses val="autoZero"/>
        <c:crossBetween val="between"/>
      </c:valAx>
      <c:catAx>
        <c:axId val="194913024"/>
        <c:scaling>
          <c:orientation val="minMax"/>
        </c:scaling>
        <c:delete val="1"/>
        <c:axPos val="b"/>
        <c:numFmt formatCode="General" sourceLinked="1"/>
        <c:majorTickMark val="none"/>
        <c:tickLblPos val="nextTo"/>
        <c:crossAx val="194914560"/>
        <c:crosses val="autoZero"/>
        <c:auto val="1"/>
        <c:lblAlgn val="ctr"/>
        <c:lblOffset val="100"/>
      </c:catAx>
      <c:valAx>
        <c:axId val="194914560"/>
        <c:scaling>
          <c:orientation val="minMax"/>
        </c:scaling>
        <c:axPos val="r"/>
        <c:numFmt formatCode="General" sourceLinked="1"/>
        <c:maj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crossAx val="194913024"/>
        <c:crosses val="max"/>
        <c:crossBetween val="between"/>
      </c:valAx>
      <c:spPr>
        <a:noFill/>
        <a:ln>
          <a:noFill/>
        </a:ln>
        <a:effectLst/>
      </c:spPr>
    </c:plotArea>
    <c:legend>
      <c:legendPos val="b"/>
      <c:legendEntry>
        <c:idx val="1"/>
        <c:txPr>
          <a:bodyPr rot="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legendEntry>
      <c:legendEntry>
        <c:idx val="0"/>
        <c:txPr>
          <a:bodyPr rot="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100">
          <a:solidFill>
            <a:sysClr val="windowText" lastClr="000000"/>
          </a:solidFill>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260" b="1" i="0" u="none" strike="noStrike" kern="1200" spc="0" baseline="0">
                <a:solidFill>
                  <a:sysClr val="windowText" lastClr="000000"/>
                </a:solidFill>
                <a:latin typeface="+mn-lt"/>
                <a:ea typeface="+mn-ea"/>
                <a:cs typeface="+mn-cs"/>
              </a:defRPr>
            </a:pPr>
            <a:r>
              <a:rPr lang="en-US" altLang="zh-CN" sz="1400" b="1">
                <a:solidFill>
                  <a:sysClr val="windowText" lastClr="000000"/>
                </a:solidFill>
                <a:latin typeface="+mn-ea"/>
                <a:ea typeface="+mn-ea"/>
                <a:cs typeface="+mn-ea"/>
              </a:rPr>
              <a:t>2018</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20</a:t>
            </a:r>
            <a:r>
              <a:rPr lang="zh-CN" altLang="en-US" sz="1400" b="1">
                <a:solidFill>
                  <a:sysClr val="windowText" lastClr="000000"/>
                </a:solidFill>
                <a:latin typeface="+mn-ea"/>
                <a:ea typeface="+mn-ea"/>
                <a:cs typeface="+mn-ea"/>
              </a:rPr>
              <a:t>日至</a:t>
            </a:r>
            <a:r>
              <a:rPr lang="en-US" altLang="zh-CN" sz="1400" b="1">
                <a:solidFill>
                  <a:sysClr val="windowText" lastClr="000000"/>
                </a:solidFill>
                <a:latin typeface="+mn-ea"/>
                <a:ea typeface="+mn-ea"/>
                <a:cs typeface="+mn-ea"/>
              </a:rPr>
              <a:t>2023</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19</a:t>
            </a:r>
            <a:r>
              <a:rPr lang="zh-CN" altLang="en-US" sz="1400" b="1">
                <a:solidFill>
                  <a:sysClr val="windowText" lastClr="000000"/>
                </a:solidFill>
                <a:latin typeface="+mn-ea"/>
                <a:ea typeface="+mn-ea"/>
                <a:cs typeface="+mn-ea"/>
              </a:rPr>
              <a:t>日</a:t>
            </a:r>
          </a:p>
          <a:p>
            <a:pPr defTabSz="914400">
              <a:defRPr lang="zh-CN" sz="1260" b="1" i="0" u="none" strike="noStrike" kern="1200" spc="0" baseline="0">
                <a:solidFill>
                  <a:sysClr val="windowText" lastClr="000000"/>
                </a:solidFill>
                <a:latin typeface="+mn-lt"/>
                <a:ea typeface="+mn-ea"/>
                <a:cs typeface="+mn-cs"/>
              </a:defRPr>
            </a:pPr>
            <a:r>
              <a:rPr lang="zh-CN" altLang="en-US" sz="1400" b="1">
                <a:solidFill>
                  <a:sysClr val="windowText" lastClr="000000"/>
                </a:solidFill>
                <a:latin typeface="+mn-ea"/>
                <a:ea typeface="+mn-ea"/>
                <a:cs typeface="+mn-ea"/>
              </a:rPr>
              <a:t>前五位案由的收案数量及占比</a:t>
            </a:r>
          </a:p>
        </c:rich>
      </c:tx>
      <c:layout>
        <c:manualLayout>
          <c:xMode val="edge"/>
          <c:yMode val="edge"/>
          <c:x val="0.28180734894630299"/>
          <c:y val="1.5755318910477101E-2"/>
        </c:manualLayout>
      </c:layout>
      <c:spPr>
        <a:noFill/>
        <a:ln>
          <a:noFill/>
        </a:ln>
        <a:effectLst/>
      </c:spPr>
    </c:title>
    <c:plotArea>
      <c:layout>
        <c:manualLayout>
          <c:layoutTarget val="inner"/>
          <c:xMode val="edge"/>
          <c:yMode val="edge"/>
          <c:x val="0.13979086406164001"/>
          <c:y val="0.14943737511830918"/>
          <c:w val="0.69113924050632902"/>
          <c:h val="0.66032180039962174"/>
        </c:manualLayout>
      </c:layout>
      <c:pieChart>
        <c:varyColors val="1"/>
        <c:ser>
          <c:idx val="0"/>
          <c:order val="0"/>
          <c:tx>
            <c:strRef>
              <c:f>Sheet1!$B$1</c:f>
              <c:strCache>
                <c:ptCount val="1"/>
                <c:pt idx="0">
                  <c:v>案件数</c:v>
                </c:pt>
              </c:strCache>
            </c:strRef>
          </c:tx>
          <c:dPt>
            <c:idx val="0"/>
            <c:explosion val="1"/>
            <c:spPr>
              <a:solidFill>
                <a:srgbClr val="5B9BD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1-065A-459F-978C-E24A70A56288}"/>
              </c:ext>
            </c:extLst>
          </c:dPt>
          <c:dPt>
            <c:idx val="1"/>
            <c:spPr>
              <a:solidFill>
                <a:srgbClr val="ED7D31"/>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3-065A-459F-978C-E24A70A56288}"/>
              </c:ext>
            </c:extLst>
          </c:dPt>
          <c:dPt>
            <c:idx val="2"/>
            <c:spPr>
              <a:solidFill>
                <a:srgbClr val="A5A5A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5-065A-459F-978C-E24A70A56288}"/>
              </c:ext>
            </c:extLst>
          </c:dPt>
          <c:dPt>
            <c:idx val="3"/>
            <c:spPr>
              <a:solidFill>
                <a:srgbClr val="FFC000"/>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7-065A-459F-978C-E24A70A56288}"/>
              </c:ext>
            </c:extLst>
          </c:dPt>
          <c:dPt>
            <c:idx val="4"/>
            <c:spPr>
              <a:solidFill>
                <a:srgbClr val="4472C4"/>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9-065A-459F-978C-E24A70A56288}"/>
              </c:ext>
            </c:extLst>
          </c:dPt>
          <c:dPt>
            <c:idx val="5"/>
            <c:spPr>
              <a:solidFill>
                <a:srgbClr val="70AD47"/>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B-065A-459F-978C-E24A70A56288}"/>
              </c:ext>
            </c:extLst>
          </c:dPt>
          <c:dLbls>
            <c:dLbl>
              <c:idx val="0"/>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16435, 52.24%</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65A-459F-978C-E24A70A56288}"/>
                </c:ext>
              </c:extLst>
            </c:dLbl>
            <c:dLbl>
              <c:idx val="1"/>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3463, 11.01%</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65A-459F-978C-E24A70A56288}"/>
                </c:ext>
              </c:extLst>
            </c:dLbl>
            <c:dLbl>
              <c:idx val="2"/>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2423, 7.70%</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065A-459F-978C-E24A70A56288}"/>
                </c:ext>
              </c:extLst>
            </c:dLbl>
            <c:dLbl>
              <c:idx val="3"/>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1525, 4.85%</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065A-459F-978C-E24A70A56288}"/>
                </c:ext>
              </c:extLst>
            </c:dLbl>
            <c:dLbl>
              <c:idx val="4"/>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896, 2.85%</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065A-459F-978C-E24A70A56288}"/>
                </c:ext>
              </c:extLst>
            </c:dLbl>
            <c:dLbl>
              <c:idx val="5"/>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mn-lt"/>
                        <a:ea typeface="+mn-ea"/>
                        <a:cs typeface="+mn-cs"/>
                      </a:defRPr>
                    </a:pPr>
                    <a:r>
                      <a:rPr lang="en-US" altLang="zh-CN"/>
                      <a:t>6717</a:t>
                    </a:r>
                    <a:r>
                      <a:rPr lang="en-US"/>
                      <a:t>, 2</a:t>
                    </a:r>
                    <a:r>
                      <a:rPr lang="en-US" altLang="zh-CN"/>
                      <a:t>1.35</a:t>
                    </a:r>
                    <a:r>
                      <a:rPr lang="en-US"/>
                      <a:t>%</a:t>
                    </a:r>
                  </a:p>
                </c:rich>
              </c:tx>
              <c:numFmt formatCode="0.00%" sourceLinked="0"/>
              <c:spPr>
                <a:noFill/>
                <a:ln>
                  <a:noFill/>
                </a:ln>
                <a:effectLst/>
              </c:spPr>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065A-459F-978C-E24A70A56288}"/>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bestFit"/>
            <c:showVal val="1"/>
            <c:showPercent val="1"/>
            <c:showLeaderLines val="1"/>
            <c:leaderLines>
              <c:spPr>
                <a:ln w="9525" cap="flat" cmpd="sng" algn="ctr">
                  <a:solidFill>
                    <a:sysClr val="windowText" lastClr="000000">
                      <a:lumMod val="35000"/>
                      <a:lumOff val="65000"/>
                    </a:sys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证券虚假陈述责任纠纷</c:v>
                </c:pt>
                <c:pt idx="1">
                  <c:v>金融借款合同纠纷</c:v>
                </c:pt>
                <c:pt idx="2">
                  <c:v>融资租赁合同纠纷</c:v>
                </c:pt>
                <c:pt idx="3">
                  <c:v>票据追索权纠纷</c:v>
                </c:pt>
                <c:pt idx="4">
                  <c:v>其他合同纠纷</c:v>
                </c:pt>
                <c:pt idx="5">
                  <c:v>其他纠纷    （单位：件）</c:v>
                </c:pt>
              </c:strCache>
            </c:strRef>
          </c:cat>
          <c:val>
            <c:numRef>
              <c:f>Sheet1!$B$2:$B$7</c:f>
              <c:numCache>
                <c:formatCode>General</c:formatCode>
                <c:ptCount val="6"/>
                <c:pt idx="0">
                  <c:v>16388</c:v>
                </c:pt>
                <c:pt idx="1">
                  <c:v>3319</c:v>
                </c:pt>
                <c:pt idx="2">
                  <c:v>2335</c:v>
                </c:pt>
                <c:pt idx="3">
                  <c:v>1424</c:v>
                </c:pt>
                <c:pt idx="4">
                  <c:v>880</c:v>
                </c:pt>
                <c:pt idx="5">
                  <c:v>6475</c:v>
                </c:pt>
              </c:numCache>
            </c:numRef>
          </c:val>
          <c:extLst xmlns:c16r2="http://schemas.microsoft.com/office/drawing/2015/06/chart">
            <c:ext xmlns:c16="http://schemas.microsoft.com/office/drawing/2014/chart" uri="{C3380CC4-5D6E-409C-BE32-E72D297353CC}">
              <c16:uniqueId val="{0000000C-065A-459F-978C-E24A70A56288}"/>
            </c:ext>
          </c:extLst>
        </c:ser>
        <c:dLbls>
          <c:showVal val="1"/>
        </c:dLbls>
        <c:firstSliceAng val="175"/>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5"/>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zero"/>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1050">
          <a:solidFill>
            <a:sysClr val="windowText" lastClr="000000"/>
          </a:solidFill>
        </a:defRPr>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260" b="0" i="0" u="none" strike="noStrike" kern="1200" spc="0" baseline="0">
                <a:solidFill>
                  <a:schemeClr val="tx1">
                    <a:lumMod val="65000"/>
                    <a:lumOff val="35000"/>
                  </a:schemeClr>
                </a:solidFill>
                <a:latin typeface="+mn-lt"/>
                <a:ea typeface="+mn-ea"/>
                <a:cs typeface="+mn-cs"/>
              </a:defRPr>
            </a:pPr>
            <a:r>
              <a:rPr lang="en-US" altLang="zh-CN" sz="1400" b="1">
                <a:solidFill>
                  <a:sysClr val="windowText" lastClr="000000"/>
                </a:solidFill>
              </a:rPr>
              <a:t>2018</a:t>
            </a:r>
            <a:r>
              <a:rPr lang="zh-CN" altLang="en-US" sz="1400" b="1">
                <a:solidFill>
                  <a:sysClr val="windowText" lastClr="000000"/>
                </a:solidFill>
              </a:rPr>
              <a:t>年</a:t>
            </a:r>
            <a:r>
              <a:rPr lang="en-US" altLang="zh-CN" sz="1400" b="1">
                <a:solidFill>
                  <a:sysClr val="windowText" lastClr="000000"/>
                </a:solidFill>
              </a:rPr>
              <a:t>8</a:t>
            </a:r>
            <a:r>
              <a:rPr lang="zh-CN" altLang="en-US" sz="1400" b="1">
                <a:solidFill>
                  <a:sysClr val="windowText" lastClr="000000"/>
                </a:solidFill>
              </a:rPr>
              <a:t>月</a:t>
            </a:r>
            <a:r>
              <a:rPr lang="en-US" altLang="zh-CN" sz="1400" b="1">
                <a:solidFill>
                  <a:sysClr val="windowText" lastClr="000000"/>
                </a:solidFill>
              </a:rPr>
              <a:t>20</a:t>
            </a:r>
            <a:r>
              <a:rPr lang="zh-CN" altLang="en-US" sz="1400" b="1">
                <a:solidFill>
                  <a:sysClr val="windowText" lastClr="000000"/>
                </a:solidFill>
              </a:rPr>
              <a:t>日至</a:t>
            </a:r>
            <a:r>
              <a:rPr lang="en-US" altLang="zh-CN" sz="1400" b="1">
                <a:solidFill>
                  <a:sysClr val="windowText" lastClr="000000"/>
                </a:solidFill>
              </a:rPr>
              <a:t>2023</a:t>
            </a:r>
            <a:r>
              <a:rPr lang="zh-CN" altLang="en-US" sz="1400" b="1">
                <a:solidFill>
                  <a:sysClr val="windowText" lastClr="000000"/>
                </a:solidFill>
              </a:rPr>
              <a:t>年</a:t>
            </a:r>
            <a:r>
              <a:rPr lang="en-US" altLang="zh-CN" sz="1400" b="1">
                <a:solidFill>
                  <a:sysClr val="windowText" lastClr="000000"/>
                </a:solidFill>
              </a:rPr>
              <a:t>8</a:t>
            </a:r>
            <a:r>
              <a:rPr lang="zh-CN" altLang="en-US" sz="1400" b="1">
                <a:solidFill>
                  <a:sysClr val="windowText" lastClr="000000"/>
                </a:solidFill>
              </a:rPr>
              <a:t>月</a:t>
            </a:r>
            <a:r>
              <a:rPr lang="en-US" altLang="zh-CN" sz="1400" b="1">
                <a:solidFill>
                  <a:sysClr val="windowText" lastClr="000000"/>
                </a:solidFill>
              </a:rPr>
              <a:t>19</a:t>
            </a:r>
            <a:r>
              <a:rPr lang="zh-CN" altLang="en-US" sz="1400" b="1">
                <a:solidFill>
                  <a:sysClr val="windowText" lastClr="000000"/>
                </a:solidFill>
              </a:rPr>
              <a:t>日</a:t>
            </a:r>
          </a:p>
          <a:p>
            <a:pPr defTabSz="914400">
              <a:defRPr lang="zh-CN" sz="1260" b="0" i="0" u="none" strike="noStrike" kern="1200" spc="0" baseline="0">
                <a:solidFill>
                  <a:schemeClr val="tx1">
                    <a:lumMod val="65000"/>
                    <a:lumOff val="35000"/>
                  </a:schemeClr>
                </a:solidFill>
                <a:latin typeface="+mn-lt"/>
                <a:ea typeface="+mn-ea"/>
                <a:cs typeface="+mn-cs"/>
              </a:defRPr>
            </a:pPr>
            <a:r>
              <a:rPr lang="zh-CN" altLang="en-US" sz="1400" b="1">
                <a:solidFill>
                  <a:sysClr val="windowText" lastClr="000000"/>
                </a:solidFill>
              </a:rPr>
              <a:t>前三位案由收案数量变化</a:t>
            </a:r>
          </a:p>
        </c:rich>
      </c:tx>
      <c:spPr>
        <a:noFill/>
        <a:ln>
          <a:noFill/>
        </a:ln>
        <a:effectLst/>
      </c:spPr>
    </c:title>
    <c:plotArea>
      <c:layout/>
      <c:lineChart>
        <c:grouping val="standard"/>
        <c:ser>
          <c:idx val="1"/>
          <c:order val="0"/>
          <c:tx>
            <c:strRef>
              <c:f>Sheet1!$B$1</c:f>
              <c:strCache>
                <c:ptCount val="1"/>
                <c:pt idx="0">
                  <c:v>证券虚假陈述责任纠纷</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mn-lt"/>
                        <a:ea typeface="+mn-ea"/>
                        <a:cs typeface="+mn-cs"/>
                      </a:defRPr>
                    </a:pPr>
                    <a:r>
                      <a:rPr lang="en-US" altLang="zh-CN"/>
                      <a:t>1958</a:t>
                    </a:r>
                  </a:p>
                </c:rich>
              </c:tx>
              <c:spPr>
                <a:noFill/>
                <a:ln>
                  <a:noFill/>
                </a:ln>
                <a:effectLst/>
              </c:spPr>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FB9-4062-AC90-F5326FAA5FD0}"/>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Sheet1!$B$2:$B$6</c:f>
              <c:numCache>
                <c:formatCode>General</c:formatCode>
                <c:ptCount val="5"/>
                <c:pt idx="0">
                  <c:v>3679</c:v>
                </c:pt>
                <c:pt idx="1">
                  <c:v>2692</c:v>
                </c:pt>
                <c:pt idx="2">
                  <c:v>3687</c:v>
                </c:pt>
                <c:pt idx="3">
                  <c:v>4419</c:v>
                </c:pt>
                <c:pt idx="4">
                  <c:v>1911</c:v>
                </c:pt>
              </c:numCache>
            </c:numRef>
          </c:val>
          <c:extLst xmlns:c16r2="http://schemas.microsoft.com/office/drawing/2015/06/chart">
            <c:ext xmlns:c16="http://schemas.microsoft.com/office/drawing/2014/chart" uri="{C3380CC4-5D6E-409C-BE32-E72D297353CC}">
              <c16:uniqueId val="{00000001-5FB9-4062-AC90-F5326FAA5FD0}"/>
            </c:ext>
          </c:extLst>
        </c:ser>
        <c:ser>
          <c:idx val="2"/>
          <c:order val="1"/>
          <c:tx>
            <c:strRef>
              <c:f>Sheet1!$C$1</c:f>
              <c:strCache>
                <c:ptCount val="1"/>
                <c:pt idx="0">
                  <c:v>金融借款合同纠纷</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1.26715945089757E-2"/>
                  <c:y val="-2.783693337389721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FB9-4062-AC90-F5326FAA5FD0}"/>
                </c:ext>
              </c:extLst>
            </c:dLbl>
            <c:dLbl>
              <c:idx val="1"/>
              <c:layout>
                <c:manualLayout>
                  <c:x val="-1.8655403027103102E-2"/>
                  <c:y val="-3.42257377547916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FB9-4062-AC90-F5326FAA5FD0}"/>
                </c:ext>
              </c:extLst>
            </c:dLbl>
            <c:dLbl>
              <c:idx val="2"/>
              <c:layout>
                <c:manualLayout>
                  <c:x val="-1.1732957878681199E-2"/>
                  <c:y val="-3.42257377547916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FB9-4062-AC90-F5326FAA5FD0}"/>
                </c:ext>
              </c:extLst>
            </c:dLbl>
            <c:dLbl>
              <c:idx val="3"/>
              <c:layout>
                <c:manualLayout>
                  <c:x val="-1.05596620908131E-3"/>
                  <c:y val="-1.90142987526620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FB9-4062-AC90-F5326FAA5FD0}"/>
                </c:ext>
              </c:extLst>
            </c:dLbl>
            <c:dLbl>
              <c:idx val="4"/>
              <c:layout>
                <c:manualLayout>
                  <c:x val="-3.9892056787516096E-3"/>
                  <c:y val="-1.2169151201703709E-3"/>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mn-lt"/>
                        <a:ea typeface="+mn-ea"/>
                        <a:cs typeface="+mn-cs"/>
                      </a:defRPr>
                    </a:pPr>
                    <a:r>
                      <a:rPr lang="en-US" altLang="zh-CN"/>
                      <a:t>902</a:t>
                    </a:r>
                  </a:p>
                </c:rich>
              </c:tx>
              <c:spPr>
                <a:noFill/>
                <a:ln>
                  <a:noFill/>
                </a:ln>
                <a:effectLst/>
              </c:spPr>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5FB9-4062-AC90-F5326FAA5FD0}"/>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2018-2019年度</c:v>
                </c:pt>
                <c:pt idx="1">
                  <c:v>2019-2020年度</c:v>
                </c:pt>
                <c:pt idx="2">
                  <c:v>2020-2021年度</c:v>
                </c:pt>
                <c:pt idx="3">
                  <c:v>2021-2022年度</c:v>
                </c:pt>
                <c:pt idx="4">
                  <c:v>2022-2023年度</c:v>
                </c:pt>
              </c:strCache>
            </c:strRef>
          </c:cat>
          <c:val>
            <c:numRef>
              <c:f>Sheet1!$C$2:$C$6</c:f>
              <c:numCache>
                <c:formatCode>General</c:formatCode>
                <c:ptCount val="5"/>
                <c:pt idx="0">
                  <c:v>431</c:v>
                </c:pt>
                <c:pt idx="1">
                  <c:v>570</c:v>
                </c:pt>
                <c:pt idx="2">
                  <c:v>760</c:v>
                </c:pt>
                <c:pt idx="3">
                  <c:v>801</c:v>
                </c:pt>
                <c:pt idx="4">
                  <c:v>757</c:v>
                </c:pt>
              </c:numCache>
            </c:numRef>
          </c:val>
          <c:extLst xmlns:c16r2="http://schemas.microsoft.com/office/drawing/2015/06/chart">
            <c:ext xmlns:c16="http://schemas.microsoft.com/office/drawing/2014/chart" uri="{C3380CC4-5D6E-409C-BE32-E72D297353CC}">
              <c16:uniqueId val="{00000007-5FB9-4062-AC90-F5326FAA5FD0}"/>
            </c:ext>
          </c:extLst>
        </c:ser>
        <c:ser>
          <c:idx val="3"/>
          <c:order val="2"/>
          <c:tx>
            <c:strRef>
              <c:f>Sheet1!$D$1</c:f>
              <c:strCache>
                <c:ptCount val="1"/>
                <c:pt idx="0">
                  <c:v>融资租赁合同纠纷    （单位：件）</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6.805115569635106E-3"/>
                  <c:y val="5.1718892607240637E-3"/>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FB9-4062-AC90-F5326FAA5FD0}"/>
                </c:ext>
              </c:extLst>
            </c:dLbl>
            <c:dLbl>
              <c:idx val="1"/>
              <c:layout>
                <c:manualLayout>
                  <c:x val="-3.8718760999647997E-3"/>
                  <c:y val="1.90142987526620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FB9-4062-AC90-F5326FAA5FD0}"/>
                </c:ext>
              </c:extLst>
            </c:dLbl>
            <c:dLbl>
              <c:idx val="2"/>
              <c:layout>
                <c:manualLayout>
                  <c:x val="-5.8664789393406136E-3"/>
                  <c:y val="1.65804685123213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FB9-4062-AC90-F5326FAA5FD0}"/>
                </c:ext>
              </c:extLst>
            </c:dLbl>
            <c:dLbl>
              <c:idx val="3"/>
              <c:layout>
                <c:manualLayout>
                  <c:x val="-1.26715945089757E-2"/>
                  <c:y val="2.2817158503194428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FB9-4062-AC90-F5326FAA5FD0}"/>
                </c:ext>
              </c:extLst>
            </c:dLbl>
            <c:dLbl>
              <c:idx val="4"/>
              <c:layout>
                <c:manualLayout>
                  <c:x val="-3.9892056787516096E-3"/>
                  <c:y val="6.3888043808944337E-3"/>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mn-lt"/>
                        <a:ea typeface="+mn-ea"/>
                        <a:cs typeface="+mn-cs"/>
                      </a:defRPr>
                    </a:pPr>
                    <a:r>
                      <a:rPr lang="en-US" altLang="zh-CN"/>
                      <a:t>504</a:t>
                    </a:r>
                  </a:p>
                </c:rich>
              </c:tx>
              <c:spPr>
                <a:noFill/>
                <a:ln>
                  <a:noFill/>
                </a:ln>
                <a:effectLst/>
              </c:spPr>
              <c:dLblPos val="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5FB9-4062-AC90-F5326FAA5FD0}"/>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endParaRPr lang="zh-CN"/>
              </a:p>
            </c:txPr>
            <c:dLblPos val="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2018-2019年度</c:v>
                </c:pt>
                <c:pt idx="1">
                  <c:v>2019-2020年度</c:v>
                </c:pt>
                <c:pt idx="2">
                  <c:v>2020-2021年度</c:v>
                </c:pt>
                <c:pt idx="3">
                  <c:v>2021-2022年度</c:v>
                </c:pt>
                <c:pt idx="4">
                  <c:v>2022-2023年度</c:v>
                </c:pt>
              </c:strCache>
            </c:strRef>
          </c:cat>
          <c:val>
            <c:numRef>
              <c:f>Sheet1!$D$2:$D$6</c:f>
              <c:numCache>
                <c:formatCode>General</c:formatCode>
                <c:ptCount val="5"/>
                <c:pt idx="0">
                  <c:v>266</c:v>
                </c:pt>
                <c:pt idx="1">
                  <c:v>418</c:v>
                </c:pt>
                <c:pt idx="2">
                  <c:v>629</c:v>
                </c:pt>
                <c:pt idx="3">
                  <c:v>606</c:v>
                </c:pt>
                <c:pt idx="4">
                  <c:v>416</c:v>
                </c:pt>
              </c:numCache>
            </c:numRef>
          </c:val>
          <c:extLst xmlns:c16r2="http://schemas.microsoft.com/office/drawing/2015/06/chart">
            <c:ext xmlns:c16="http://schemas.microsoft.com/office/drawing/2014/chart" uri="{C3380CC4-5D6E-409C-BE32-E72D297353CC}">
              <c16:uniqueId val="{0000000D-5FB9-4062-AC90-F5326FAA5FD0}"/>
            </c:ext>
          </c:extLst>
        </c:ser>
        <c:marker val="1"/>
        <c:axId val="208925056"/>
        <c:axId val="208926592"/>
      </c:lineChart>
      <c:catAx>
        <c:axId val="20892505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endParaRPr lang="zh-CN"/>
          </a:p>
        </c:txPr>
        <c:crossAx val="208926592"/>
        <c:crosses val="autoZero"/>
        <c:auto val="1"/>
        <c:lblAlgn val="ctr"/>
        <c:lblOffset val="100"/>
      </c:catAx>
      <c:valAx>
        <c:axId val="2089265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endParaRPr lang="zh-CN"/>
          </a:p>
        </c:txPr>
        <c:crossAx val="20892505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050"/>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40" b="1" i="0" u="none" strike="noStrike" kern="1200" spc="0" baseline="0">
                <a:solidFill>
                  <a:sysClr val="windowText" lastClr="000000"/>
                </a:solidFill>
                <a:latin typeface="+mn-lt"/>
                <a:ea typeface="+mn-ea"/>
                <a:cs typeface="+mn-cs"/>
              </a:defRPr>
            </a:pPr>
            <a:r>
              <a:rPr lang="en-US" altLang="zh-CN" sz="1400" b="1">
                <a:solidFill>
                  <a:sysClr val="windowText" lastClr="000000"/>
                </a:solidFill>
                <a:latin typeface="+mn-ea"/>
                <a:ea typeface="+mn-ea"/>
                <a:cs typeface="+mn-ea"/>
              </a:rPr>
              <a:t>2018</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20</a:t>
            </a:r>
            <a:r>
              <a:rPr lang="zh-CN" altLang="en-US" sz="1400" b="1">
                <a:solidFill>
                  <a:sysClr val="windowText" lastClr="000000"/>
                </a:solidFill>
                <a:latin typeface="+mn-ea"/>
                <a:ea typeface="+mn-ea"/>
                <a:cs typeface="+mn-ea"/>
              </a:rPr>
              <a:t>日至</a:t>
            </a:r>
            <a:r>
              <a:rPr lang="en-US" altLang="zh-CN" sz="1400" b="1">
                <a:solidFill>
                  <a:sysClr val="windowText" lastClr="000000"/>
                </a:solidFill>
                <a:latin typeface="+mn-ea"/>
                <a:ea typeface="+mn-ea"/>
                <a:cs typeface="+mn-ea"/>
              </a:rPr>
              <a:t>2023</a:t>
            </a:r>
            <a:r>
              <a:rPr lang="zh-CN" altLang="en-US" sz="1400" b="1">
                <a:solidFill>
                  <a:sysClr val="windowText" lastClr="000000"/>
                </a:solidFill>
                <a:latin typeface="+mn-ea"/>
                <a:ea typeface="+mn-ea"/>
                <a:cs typeface="+mn-ea"/>
              </a:rPr>
              <a:t>年</a:t>
            </a:r>
            <a:r>
              <a:rPr lang="en-US" altLang="zh-CN" sz="1400" b="1">
                <a:solidFill>
                  <a:sysClr val="windowText" lastClr="000000"/>
                </a:solidFill>
                <a:latin typeface="+mn-ea"/>
                <a:ea typeface="+mn-ea"/>
                <a:cs typeface="+mn-ea"/>
              </a:rPr>
              <a:t>8</a:t>
            </a:r>
            <a:r>
              <a:rPr lang="zh-CN" altLang="en-US" sz="1400" b="1">
                <a:solidFill>
                  <a:sysClr val="windowText" lastClr="000000"/>
                </a:solidFill>
                <a:latin typeface="+mn-ea"/>
                <a:ea typeface="+mn-ea"/>
                <a:cs typeface="+mn-ea"/>
              </a:rPr>
              <a:t>月</a:t>
            </a:r>
            <a:r>
              <a:rPr lang="en-US" altLang="zh-CN" sz="1400" b="1">
                <a:solidFill>
                  <a:sysClr val="windowText" lastClr="000000"/>
                </a:solidFill>
                <a:latin typeface="+mn-ea"/>
                <a:ea typeface="+mn-ea"/>
                <a:cs typeface="+mn-ea"/>
              </a:rPr>
              <a:t>19</a:t>
            </a:r>
            <a:r>
              <a:rPr lang="zh-CN" altLang="en-US" sz="1400" b="1">
                <a:solidFill>
                  <a:sysClr val="windowText" lastClr="000000"/>
                </a:solidFill>
                <a:latin typeface="+mn-ea"/>
                <a:ea typeface="+mn-ea"/>
                <a:cs typeface="+mn-ea"/>
              </a:rPr>
              <a:t>日</a:t>
            </a:r>
          </a:p>
          <a:p>
            <a:pPr defTabSz="914400">
              <a:defRPr lang="zh-CN" sz="1440" b="1" i="0" u="none" strike="noStrike" kern="1200" spc="0" baseline="0">
                <a:solidFill>
                  <a:sysClr val="windowText" lastClr="000000"/>
                </a:solidFill>
                <a:latin typeface="+mn-lt"/>
                <a:ea typeface="+mn-ea"/>
                <a:cs typeface="+mn-cs"/>
              </a:defRPr>
            </a:pPr>
            <a:r>
              <a:rPr lang="zh-CN" altLang="en-US" sz="1400" b="1">
                <a:solidFill>
                  <a:sysClr val="windowText" lastClr="000000"/>
                </a:solidFill>
                <a:latin typeface="+mn-ea"/>
                <a:ea typeface="+mn-ea"/>
                <a:cs typeface="+mn-ea"/>
              </a:rPr>
              <a:t>涉各金融行业收案数量及占比</a:t>
            </a:r>
          </a:p>
        </c:rich>
      </c:tx>
      <c:layout>
        <c:manualLayout>
          <c:xMode val="edge"/>
          <c:yMode val="edge"/>
          <c:x val="0.27946324387397897"/>
          <c:y val="1.4129826524902E-2"/>
        </c:manualLayout>
      </c:layout>
      <c:spPr>
        <a:noFill/>
        <a:ln>
          <a:noFill/>
        </a:ln>
        <a:effectLst/>
      </c:spPr>
    </c:title>
    <c:plotArea>
      <c:layout>
        <c:manualLayout>
          <c:layoutTarget val="inner"/>
          <c:xMode val="edge"/>
          <c:yMode val="edge"/>
          <c:x val="0.21640000000000012"/>
          <c:y val="0.21432130387540718"/>
          <c:w val="0.57970000000000044"/>
          <c:h val="0.73905976095617543"/>
        </c:manualLayout>
      </c:layout>
      <c:pieChart>
        <c:varyColors val="1"/>
        <c:ser>
          <c:idx val="0"/>
          <c:order val="0"/>
          <c:tx>
            <c:strRef>
              <c:f>Sheet1!$B$1</c:f>
              <c:strCache>
                <c:ptCount val="1"/>
                <c:pt idx="0">
                  <c:v>案件数</c:v>
                </c:pt>
              </c:strCache>
            </c:strRef>
          </c:tx>
          <c:dPt>
            <c:idx val="0"/>
            <c:spPr>
              <a:solidFill>
                <a:srgbClr val="5B9BD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1-38E2-44E5-8113-BBDF718592D3}"/>
              </c:ext>
            </c:extLst>
          </c:dPt>
          <c:dPt>
            <c:idx val="1"/>
            <c:spPr>
              <a:solidFill>
                <a:srgbClr val="ED7D31"/>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3-38E2-44E5-8113-BBDF718592D3}"/>
              </c:ext>
            </c:extLst>
          </c:dPt>
          <c:dPt>
            <c:idx val="2"/>
            <c:spPr>
              <a:solidFill>
                <a:srgbClr val="A5A5A5"/>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5-38E2-44E5-8113-BBDF718592D3}"/>
              </c:ext>
            </c:extLst>
          </c:dPt>
          <c:dPt>
            <c:idx val="3"/>
            <c:spPr>
              <a:solidFill>
                <a:srgbClr val="FFC000"/>
              </a:solidFill>
              <a:ln w="19050">
                <a:solidFill>
                  <a:sysClr val="window" lastClr="FFFFFF"/>
                </a:solidFill>
              </a:ln>
              <a:effectLst/>
            </c:spPr>
            <c:extLst xmlns:c16r2="http://schemas.microsoft.com/office/drawing/2015/06/chart">
              <c:ext xmlns:c16="http://schemas.microsoft.com/office/drawing/2014/chart" uri="{C3380CC4-5D6E-409C-BE32-E72D297353CC}">
                <c16:uniqueId val="{00000007-38E2-44E5-8113-BBDF718592D3}"/>
              </c:ext>
            </c:extLst>
          </c:dPt>
          <c:dLbls>
            <c:dLbl>
              <c:idx val="0"/>
              <c:tx>
                <c:rich>
                  <a:bodyPr/>
                  <a:lstStyle/>
                  <a:p>
                    <a:r>
                      <a:rPr lang="en-US" altLang="zh-CN"/>
                      <a:t>17137, 59.16%</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8E2-44E5-8113-BBDF718592D3}"/>
                </c:ext>
              </c:extLst>
            </c:dLbl>
            <c:dLbl>
              <c:idx val="1"/>
              <c:tx>
                <c:rich>
                  <a:bodyPr/>
                  <a:lstStyle/>
                  <a:p>
                    <a:r>
                      <a:rPr lang="en-US" altLang="zh-CN"/>
                      <a:t>8091</a:t>
                    </a:r>
                    <a:r>
                      <a:rPr lang="en-US"/>
                      <a:t>, 27.</a:t>
                    </a:r>
                    <a:r>
                      <a:rPr lang="en-US" altLang="zh-CN"/>
                      <a:t>93</a:t>
                    </a:r>
                    <a:r>
                      <a:rPr lang="en-US"/>
                      <a:t>%</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38E2-44E5-8113-BBDF718592D3}"/>
                </c:ext>
              </c:extLst>
            </c:dLbl>
            <c:dLbl>
              <c:idx val="2"/>
              <c:layout>
                <c:manualLayout>
                  <c:x val="-5.8343057176195997E-3"/>
                  <c:y val="0"/>
                </c:manualLayout>
              </c:layout>
              <c:tx>
                <c:rich>
                  <a:bodyPr/>
                  <a:lstStyle/>
                  <a:p>
                    <a:r>
                      <a:rPr lang="en-US" altLang="zh-CN"/>
                      <a:t>1468, 5.07%</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38E2-44E5-8113-BBDF718592D3}"/>
                </c:ext>
              </c:extLst>
            </c:dLbl>
            <c:dLbl>
              <c:idx val="3"/>
              <c:tx>
                <c:rich>
                  <a:bodyPr/>
                  <a:lstStyle/>
                  <a:p>
                    <a:r>
                      <a:rPr lang="en-US" altLang="zh-CN"/>
                      <a:t>2270, 7.84%</a:t>
                    </a:r>
                  </a:p>
                </c:rich>
              </c:tx>
              <c:dLblPos val="bestFit"/>
              <c:showVal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38E2-44E5-8113-BBDF718592D3}"/>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endParaRPr lang="zh-CN"/>
              </a:p>
            </c:txPr>
            <c:dLblPos val="bestFit"/>
            <c:showVal val="1"/>
            <c:showPercent val="1"/>
            <c:extLst xmlns:c16r2="http://schemas.microsoft.com/office/drawing/2015/06/chart">
              <c:ext xmlns:c15="http://schemas.microsoft.com/office/drawing/2012/chart" uri="{CE6537A1-D6FC-4f65-9D91-7224C49458BB}"/>
            </c:extLst>
          </c:dLbls>
          <c:cat>
            <c:strRef>
              <c:f>Sheet1!$A$2:$A$5</c:f>
              <c:strCache>
                <c:ptCount val="4"/>
                <c:pt idx="0">
                  <c:v>证券业</c:v>
                </c:pt>
                <c:pt idx="1">
                  <c:v>银行业</c:v>
                </c:pt>
                <c:pt idx="2">
                  <c:v>保险业</c:v>
                </c:pt>
                <c:pt idx="3">
                  <c:v>其他金融行业  （单位：件）</c:v>
                </c:pt>
              </c:strCache>
            </c:strRef>
          </c:cat>
          <c:val>
            <c:numRef>
              <c:f>Sheet1!$B$2:$B$5</c:f>
              <c:numCache>
                <c:formatCode>General</c:formatCode>
                <c:ptCount val="4"/>
                <c:pt idx="0">
                  <c:v>17086</c:v>
                </c:pt>
                <c:pt idx="1">
                  <c:v>7877</c:v>
                </c:pt>
                <c:pt idx="2">
                  <c:v>1435</c:v>
                </c:pt>
                <c:pt idx="3">
                  <c:v>2231</c:v>
                </c:pt>
              </c:numCache>
            </c:numRef>
          </c:val>
          <c:extLst xmlns:c16r2="http://schemas.microsoft.com/office/drawing/2015/06/chart">
            <c:ext xmlns:c16="http://schemas.microsoft.com/office/drawing/2014/chart" uri="{C3380CC4-5D6E-409C-BE32-E72D297353CC}">
              <c16:uniqueId val="{00000008-38E2-44E5-8113-BBDF718592D3}"/>
            </c:ext>
          </c:extLst>
        </c:ser>
        <c:dLbls>
          <c:showVal val="1"/>
        </c:dLbls>
        <c:firstSliceAng val="14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Entry>
      <c:spPr>
        <a:noFill/>
        <a:ln>
          <a:noFill/>
        </a:ln>
        <a:effectLst/>
      </c:spPr>
      <c:txPr>
        <a:bodyPr rot="0" spcFirstLastPara="0" vertOverflow="ellipsis" vert="horz" wrap="square" anchor="ctr" anchorCtr="1"/>
        <a:lstStyle/>
        <a:p>
          <a:pPr>
            <a:defRPr lang="zh-CN" sz="1200" b="0" i="0" u="none" strike="noStrike" kern="1200" baseline="0">
              <a:solidFill>
                <a:sysClr val="windowText" lastClr="000000"/>
              </a:solidFill>
              <a:latin typeface="+mn-lt"/>
              <a:ea typeface="+mn-ea"/>
              <a:cs typeface="+mn-cs"/>
            </a:defRPr>
          </a:pPr>
          <a:endParaRPr lang="zh-CN"/>
        </a:p>
      </c:txPr>
    </c:legend>
    <c:plotVisOnly val="1"/>
    <c:dispBlanksAs val="zero"/>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120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1957</Words>
  <Characters>11161</Characters>
  <Application>Microsoft Office Word</Application>
  <DocSecurity>0</DocSecurity>
  <Lines>93</Lines>
  <Paragraphs>26</Paragraphs>
  <ScaleCrop>false</ScaleCrop>
  <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晓骁</dc:creator>
  <cp:lastModifiedBy>郑倩</cp:lastModifiedBy>
  <cp:revision>5</cp:revision>
  <cp:lastPrinted>2023-08-19T23:50:00Z</cp:lastPrinted>
  <dcterms:created xsi:type="dcterms:W3CDTF">2023-08-20T11:21:00Z</dcterms:created>
  <dcterms:modified xsi:type="dcterms:W3CDTF">2023-08-22T08:54:00Z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vt:lpwstr>
  </property>
  <property fmtid="{D5CDD505-2E9C-101B-9397-08002B2CF9AE}" pid="3" name="ICV">
    <vt:lpwstr>9C9EEF9CDBD24313A6FC0999EE60E73D_13</vt:lpwstr>
  </property>
</Properties>
</file>