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阿里巴巴普惠体 H" w:hAnsi="阿里巴巴普惠体 H" w:eastAsia="阿里巴巴普惠体 H" w:cs="阿里巴巴普惠体 H"/>
          <w:b/>
          <w:bCs w:val="0"/>
          <w:sz w:val="28"/>
          <w:szCs w:val="28"/>
          <w:lang w:val="en-US" w:eastAsia="zh-CN"/>
        </w:rPr>
      </w:pPr>
    </w:p>
    <w:sdt>
      <w:sdtPr>
        <w:rPr>
          <w:rFonts w:hint="eastAsia" w:ascii="华文楷体" w:hAnsi="华文楷体" w:eastAsia="华文楷体" w:cs="华文楷体"/>
          <w:b/>
          <w:bCs/>
          <w:kern w:val="2"/>
          <w:sz w:val="32"/>
          <w:szCs w:val="40"/>
          <w:lang w:val="en-US" w:eastAsia="zh-CN" w:bidi="ar-SA"/>
        </w:rPr>
        <w:id w:val="147451178"/>
        <w15:color w:val="DBDBDB"/>
        <w:docPartObj>
          <w:docPartGallery w:val="Table of Contents"/>
          <w:docPartUnique/>
        </w:docPartObj>
      </w:sdtPr>
      <w:sdtEndPr>
        <w:rPr>
          <w:rFonts w:hint="eastAsia" w:ascii="阿里巴巴普惠体 H" w:hAnsi="阿里巴巴普惠体 H" w:eastAsia="阿里巴巴普惠体 H" w:cs="阿里巴巴普惠体 H"/>
          <w:bCs w:val="0"/>
          <w:kern w:val="2"/>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华文楷体" w:hAnsi="华文楷体" w:eastAsia="华文楷体" w:cs="华文楷体"/>
              <w:b/>
              <w:bCs/>
              <w:sz w:val="44"/>
              <w:szCs w:val="52"/>
            </w:rPr>
          </w:pPr>
          <w:r>
            <w:rPr>
              <w:rFonts w:hint="eastAsia" w:ascii="华文楷体" w:hAnsi="华文楷体" w:eastAsia="华文楷体" w:cs="华文楷体"/>
              <w:b/>
              <w:bCs/>
              <w:sz w:val="44"/>
              <w:szCs w:val="52"/>
            </w:rPr>
            <w:t>目</w:t>
          </w:r>
          <w:r>
            <w:rPr>
              <w:rFonts w:hint="eastAsia" w:ascii="华文楷体" w:hAnsi="华文楷体" w:eastAsia="华文楷体" w:cs="华文楷体"/>
              <w:b/>
              <w:bCs/>
              <w:sz w:val="44"/>
              <w:szCs w:val="52"/>
              <w:lang w:val="en-US" w:eastAsia="zh-CN"/>
            </w:rPr>
            <w:t xml:space="preserve"> </w:t>
          </w:r>
          <w:r>
            <w:rPr>
              <w:rFonts w:hint="eastAsia" w:ascii="华文楷体" w:hAnsi="华文楷体" w:eastAsia="华文楷体" w:cs="华文楷体"/>
              <w:b/>
              <w:bCs/>
              <w:sz w:val="44"/>
              <w:szCs w:val="52"/>
            </w:rPr>
            <w:t>录</w:t>
          </w:r>
        </w:p>
        <w:p>
          <w:pPr>
            <w:spacing w:before="0" w:beforeLines="0" w:after="0" w:afterLines="0" w:line="240" w:lineRule="auto"/>
            <w:ind w:left="0" w:leftChars="0" w:right="0" w:rightChars="0" w:firstLine="0" w:firstLineChars="0"/>
            <w:jc w:val="center"/>
            <w:rPr>
              <w:rFonts w:ascii="宋体" w:hAnsi="宋体" w:eastAsia="宋体"/>
              <w:b/>
              <w:bCs/>
              <w:sz w:val="28"/>
              <w:szCs w:val="36"/>
            </w:rPr>
          </w:pPr>
        </w:p>
        <w:p>
          <w:pPr>
            <w:pStyle w:val="6"/>
            <w:tabs>
              <w:tab w:val="right" w:leader="dot" w:pos="8306"/>
            </w:tabs>
            <w:rPr>
              <w:rFonts w:hint="eastAsia" w:ascii="等线" w:hAnsi="等线" w:eastAsia="等线" w:cs="等线"/>
              <w:sz w:val="24"/>
              <w:szCs w:val="24"/>
              <w:shd w:val="clear" w:color="auto" w:fill="auto"/>
            </w:rPr>
          </w:pPr>
          <w:r>
            <w:rPr>
              <w:rFonts w:hint="eastAsia" w:ascii="等线" w:hAnsi="等线" w:eastAsia="等线" w:cs="等线"/>
              <w:b w:val="0"/>
              <w:bCs/>
              <w:sz w:val="24"/>
              <w:szCs w:val="24"/>
              <w:lang w:val="en-US" w:eastAsia="zh-CN"/>
            </w:rPr>
            <w:t>案例一</w:t>
          </w:r>
          <w:r>
            <w:rPr>
              <w:rFonts w:hint="eastAsia" w:ascii="等线" w:hAnsi="等线" w:eastAsia="等线" w:cs="等线"/>
              <w:b/>
              <w:bCs w:val="0"/>
              <w:sz w:val="36"/>
              <w:szCs w:val="36"/>
              <w:lang w:val="en-US" w:eastAsia="zh-CN"/>
            </w:rPr>
            <w:t xml:space="preserve"> </w:t>
          </w:r>
          <w:r>
            <w:rPr>
              <w:rFonts w:hint="eastAsia" w:ascii="等线" w:hAnsi="等线" w:eastAsia="等线" w:cs="等线"/>
              <w:b/>
              <w:bCs w:val="0"/>
              <w:sz w:val="40"/>
              <w:szCs w:val="40"/>
              <w:shd w:val="clear" w:color="auto" w:fill="auto"/>
              <w:lang w:val="en-US" w:eastAsia="zh-CN"/>
            </w:rPr>
            <w:fldChar w:fldCharType="begin"/>
          </w:r>
          <w:r>
            <w:rPr>
              <w:rFonts w:hint="eastAsia" w:ascii="等线" w:hAnsi="等线" w:eastAsia="等线" w:cs="等线"/>
              <w:b/>
              <w:bCs w:val="0"/>
              <w:sz w:val="40"/>
              <w:szCs w:val="40"/>
              <w:shd w:val="clear" w:color="auto" w:fill="auto"/>
              <w:lang w:val="en-US" w:eastAsia="zh-CN"/>
            </w:rPr>
            <w:instrText xml:space="preserve">TOC \o "1-1" \h \u </w:instrText>
          </w:r>
          <w:r>
            <w:rPr>
              <w:rFonts w:hint="eastAsia" w:ascii="等线" w:hAnsi="等线" w:eastAsia="等线" w:cs="等线"/>
              <w:b/>
              <w:bCs w:val="0"/>
              <w:sz w:val="40"/>
              <w:szCs w:val="40"/>
              <w:shd w:val="clear" w:color="auto" w:fill="auto"/>
              <w:lang w:val="en-US" w:eastAsia="zh-CN"/>
            </w:rPr>
            <w:fldChar w:fldCharType="separate"/>
          </w: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_Toc28594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sz w:val="24"/>
              <w:szCs w:val="44"/>
              <w:shd w:val="clear" w:color="auto" w:fill="auto"/>
            </w:rPr>
            <w:t>某银行诉周某等金融借款合同纠纷案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rPr>
            <w:fldChar w:fldCharType="begin"/>
          </w:r>
          <w:r>
            <w:rPr>
              <w:rFonts w:hint="eastAsia" w:ascii="等线" w:hAnsi="等线" w:eastAsia="等线" w:cs="等线"/>
              <w:sz w:val="24"/>
              <w:szCs w:val="24"/>
              <w:shd w:val="clear" w:color="auto" w:fill="auto"/>
            </w:rPr>
            <w:instrText xml:space="preserve"> PAGEREF _Toc28594 \h </w:instrText>
          </w:r>
          <w:r>
            <w:rPr>
              <w:rFonts w:hint="eastAsia" w:ascii="等线" w:hAnsi="等线" w:eastAsia="等线" w:cs="等线"/>
              <w:sz w:val="24"/>
              <w:szCs w:val="24"/>
              <w:shd w:val="clear" w:color="auto" w:fill="auto"/>
            </w:rPr>
            <w:fldChar w:fldCharType="separate"/>
          </w:r>
          <w:r>
            <w:rPr>
              <w:rFonts w:hint="eastAsia" w:ascii="等线" w:hAnsi="等线" w:eastAsia="等线" w:cs="等线"/>
              <w:sz w:val="24"/>
              <w:szCs w:val="24"/>
              <w:shd w:val="clear" w:color="auto" w:fill="auto"/>
            </w:rPr>
            <w:t>2</w:t>
          </w:r>
          <w:r>
            <w:rPr>
              <w:rFonts w:hint="eastAsia" w:ascii="等线" w:hAnsi="等线" w:eastAsia="等线" w:cs="等线"/>
              <w:sz w:val="24"/>
              <w:szCs w:val="24"/>
              <w:shd w:val="clear" w:color="auto" w:fill="auto"/>
            </w:rPr>
            <w:fldChar w:fldCharType="end"/>
          </w:r>
          <w:r>
            <w:rPr>
              <w:rFonts w:hint="eastAsia" w:ascii="等线" w:hAnsi="等线" w:eastAsia="等线" w:cs="等线"/>
              <w:bCs w:val="0"/>
              <w:sz w:val="24"/>
              <w:szCs w:val="40"/>
              <w:shd w:val="clear" w:color="auto" w:fill="auto"/>
              <w:lang w:val="en-US" w:eastAsia="zh-CN"/>
            </w:rPr>
            <w:fldChar w:fldCharType="end"/>
          </w:r>
        </w:p>
        <w:p>
          <w:pPr>
            <w:pStyle w:val="6"/>
            <w:tabs>
              <w:tab w:val="right" w:leader="dot" w:pos="8306"/>
            </w:tabs>
            <w:rPr>
              <w:rFonts w:hint="eastAsia" w:ascii="等线" w:hAnsi="等线" w:eastAsia="等线" w:cs="等线"/>
              <w:sz w:val="24"/>
              <w:szCs w:val="24"/>
              <w:shd w:val="clear" w:color="auto" w:fill="auto"/>
            </w:rPr>
          </w:pPr>
          <w:r>
            <w:rPr>
              <w:rFonts w:hint="eastAsia" w:ascii="等线" w:hAnsi="等线" w:eastAsia="等线" w:cs="等线"/>
              <w:bCs w:val="0"/>
              <w:sz w:val="24"/>
              <w:szCs w:val="40"/>
              <w:shd w:val="clear" w:color="auto" w:fill="auto"/>
              <w:lang w:val="en-US" w:eastAsia="zh-CN"/>
            </w:rPr>
            <w:t xml:space="preserve">案例二 </w:t>
          </w: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_Toc14142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sz w:val="24"/>
              <w:szCs w:val="44"/>
              <w:shd w:val="clear" w:color="auto" w:fill="auto"/>
            </w:rPr>
            <w:t>某出版社诉某信息技术公司、某图书店等著作权侵权纠纷系列案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rPr>
            <w:fldChar w:fldCharType="begin"/>
          </w:r>
          <w:r>
            <w:rPr>
              <w:rFonts w:hint="eastAsia" w:ascii="等线" w:hAnsi="等线" w:eastAsia="等线" w:cs="等线"/>
              <w:sz w:val="24"/>
              <w:szCs w:val="24"/>
              <w:shd w:val="clear" w:color="auto" w:fill="auto"/>
            </w:rPr>
            <w:instrText xml:space="preserve"> PAGEREF _Toc14142 \h </w:instrText>
          </w:r>
          <w:r>
            <w:rPr>
              <w:rFonts w:hint="eastAsia" w:ascii="等线" w:hAnsi="等线" w:eastAsia="等线" w:cs="等线"/>
              <w:sz w:val="24"/>
              <w:szCs w:val="24"/>
              <w:shd w:val="clear" w:color="auto" w:fill="auto"/>
            </w:rPr>
            <w:fldChar w:fldCharType="separate"/>
          </w:r>
          <w:r>
            <w:rPr>
              <w:rFonts w:hint="eastAsia" w:ascii="等线" w:hAnsi="等线" w:eastAsia="等线" w:cs="等线"/>
              <w:sz w:val="24"/>
              <w:szCs w:val="24"/>
              <w:shd w:val="clear" w:color="auto" w:fill="auto"/>
            </w:rPr>
            <w:t>5</w:t>
          </w:r>
          <w:r>
            <w:rPr>
              <w:rFonts w:hint="eastAsia" w:ascii="等线" w:hAnsi="等线" w:eastAsia="等线" w:cs="等线"/>
              <w:sz w:val="24"/>
              <w:szCs w:val="24"/>
              <w:shd w:val="clear" w:color="auto" w:fill="auto"/>
            </w:rPr>
            <w:fldChar w:fldCharType="end"/>
          </w:r>
          <w:r>
            <w:rPr>
              <w:rFonts w:hint="eastAsia" w:ascii="等线" w:hAnsi="等线" w:eastAsia="等线" w:cs="等线"/>
              <w:bCs w:val="0"/>
              <w:sz w:val="24"/>
              <w:szCs w:val="40"/>
              <w:shd w:val="clear" w:color="auto" w:fill="auto"/>
              <w:lang w:val="en-US" w:eastAsia="zh-CN"/>
            </w:rPr>
            <w:fldChar w:fldCharType="end"/>
          </w:r>
        </w:p>
        <w:p>
          <w:pPr>
            <w:pStyle w:val="6"/>
            <w:tabs>
              <w:tab w:val="right" w:leader="dot" w:pos="8306"/>
            </w:tabs>
            <w:rPr>
              <w:rFonts w:hint="eastAsia" w:ascii="等线" w:hAnsi="等线" w:eastAsia="等线" w:cs="等线"/>
              <w:sz w:val="24"/>
              <w:szCs w:val="24"/>
              <w:shd w:val="clear" w:color="auto" w:fill="auto"/>
            </w:rPr>
          </w:pP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_Toc11149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val="0"/>
              <w:sz w:val="24"/>
              <w:szCs w:val="40"/>
              <w:shd w:val="clear" w:color="auto" w:fill="auto"/>
              <w:lang w:val="en-US" w:eastAsia="zh-CN"/>
            </w:rPr>
            <w:t xml:space="preserve">案例三 </w:t>
          </w:r>
          <w:r>
            <w:rPr>
              <w:rFonts w:hint="eastAsia" w:ascii="等线" w:hAnsi="等线" w:eastAsia="等线" w:cs="等线"/>
              <w:sz w:val="24"/>
              <w:szCs w:val="44"/>
              <w:shd w:val="clear" w:color="auto" w:fill="auto"/>
            </w:rPr>
            <w:t>平台直播治理衍生纠纷系列案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lang w:val="en-US" w:eastAsia="zh-CN"/>
            </w:rPr>
            <w:t>8</w:t>
          </w:r>
          <w:r>
            <w:rPr>
              <w:rFonts w:hint="eastAsia" w:ascii="等线" w:hAnsi="等线" w:eastAsia="等线" w:cs="等线"/>
              <w:bCs w:val="0"/>
              <w:sz w:val="24"/>
              <w:szCs w:val="40"/>
              <w:shd w:val="clear" w:color="auto" w:fill="auto"/>
              <w:lang w:val="en-US" w:eastAsia="zh-CN"/>
            </w:rPr>
            <w:fldChar w:fldCharType="end"/>
          </w:r>
        </w:p>
        <w:p>
          <w:pPr>
            <w:pStyle w:val="6"/>
            <w:tabs>
              <w:tab w:val="right" w:leader="dot" w:pos="8306"/>
            </w:tabs>
            <w:rPr>
              <w:rFonts w:hint="default" w:ascii="等线" w:hAnsi="等线" w:eastAsia="等线" w:cs="等线"/>
              <w:sz w:val="24"/>
              <w:szCs w:val="24"/>
              <w:shd w:val="clear" w:color="auto" w:fill="auto"/>
              <w:lang w:val="en-US"/>
            </w:rPr>
          </w:pPr>
          <w:r>
            <w:rPr>
              <w:rFonts w:hint="eastAsia" w:ascii="等线" w:hAnsi="等线" w:eastAsia="等线" w:cs="等线"/>
              <w:bCs w:val="0"/>
              <w:sz w:val="24"/>
              <w:szCs w:val="40"/>
              <w:shd w:val="clear" w:color="auto" w:fill="auto"/>
              <w:lang w:val="en-US" w:eastAsia="zh-CN"/>
            </w:rPr>
            <w:t xml:space="preserve">案例四 </w:t>
          </w: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_Toc17142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sz w:val="24"/>
              <w:szCs w:val="44"/>
              <w:shd w:val="clear" w:color="auto" w:fill="auto"/>
              <w:lang w:eastAsia="zh-Hans"/>
              <w14:ligatures w14:val="none"/>
            </w:rPr>
            <w:t>电商平台争议在线解决衍生纠纷系列</w:t>
          </w:r>
          <w:bookmarkStart w:id="10" w:name="_GoBack"/>
          <w:bookmarkEnd w:id="10"/>
          <w:r>
            <w:rPr>
              <w:rFonts w:hint="eastAsia" w:ascii="等线" w:hAnsi="等线" w:eastAsia="等线" w:cs="等线"/>
              <w:bCs/>
              <w:sz w:val="24"/>
              <w:szCs w:val="44"/>
              <w:shd w:val="clear" w:color="auto" w:fill="auto"/>
              <w:lang w:eastAsia="zh-Hans"/>
              <w14:ligatures w14:val="none"/>
            </w:rPr>
            <w:t>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lang w:val="en-US" w:eastAsia="zh-CN"/>
            </w:rPr>
            <w:t>1</w:t>
          </w:r>
          <w:r>
            <w:rPr>
              <w:rFonts w:hint="eastAsia" w:ascii="等线" w:hAnsi="等线" w:eastAsia="等线" w:cs="等线"/>
              <w:bCs w:val="0"/>
              <w:sz w:val="24"/>
              <w:szCs w:val="40"/>
              <w:shd w:val="clear" w:color="auto" w:fill="auto"/>
              <w:lang w:val="en-US" w:eastAsia="zh-CN"/>
            </w:rPr>
            <w:fldChar w:fldCharType="end"/>
          </w:r>
          <w:r>
            <w:rPr>
              <w:rFonts w:hint="eastAsia" w:ascii="等线" w:hAnsi="等线" w:eastAsia="等线" w:cs="等线"/>
              <w:bCs w:val="0"/>
              <w:sz w:val="24"/>
              <w:szCs w:val="40"/>
              <w:shd w:val="clear" w:color="auto" w:fill="auto"/>
              <w:lang w:val="en-US" w:eastAsia="zh-CN"/>
            </w:rPr>
            <w:t>2</w:t>
          </w:r>
        </w:p>
        <w:p>
          <w:pPr>
            <w:pStyle w:val="6"/>
            <w:tabs>
              <w:tab w:val="right" w:leader="dot" w:pos="8306"/>
            </w:tabs>
            <w:rPr>
              <w:rFonts w:hint="eastAsia" w:ascii="等线" w:hAnsi="等线" w:eastAsia="等线" w:cs="等线"/>
              <w:sz w:val="24"/>
              <w:szCs w:val="24"/>
              <w:shd w:val="clear" w:color="auto" w:fill="auto"/>
            </w:rPr>
          </w:pPr>
          <w:r>
            <w:rPr>
              <w:rFonts w:hint="eastAsia" w:ascii="等线" w:hAnsi="等线" w:eastAsia="等线" w:cs="等线"/>
              <w:bCs w:val="0"/>
              <w:sz w:val="24"/>
              <w:szCs w:val="40"/>
              <w:shd w:val="clear" w:color="auto" w:fill="auto"/>
              <w:lang w:val="en-US" w:eastAsia="zh-CN"/>
            </w:rPr>
            <w:t>案例五</w:t>
          </w: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_Toc24621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val="0"/>
              <w:sz w:val="24"/>
              <w:szCs w:val="40"/>
              <w:shd w:val="clear" w:color="auto" w:fill="auto"/>
              <w:lang w:val="en-US" w:eastAsia="zh-CN"/>
            </w:rPr>
            <w:t xml:space="preserve"> </w:t>
          </w:r>
          <w:r>
            <w:rPr>
              <w:rFonts w:hint="eastAsia" w:ascii="等线" w:hAnsi="等线" w:eastAsia="等线" w:cs="等线"/>
              <w:bCs/>
              <w:sz w:val="24"/>
              <w:szCs w:val="52"/>
              <w:shd w:val="clear" w:color="auto" w:fill="auto"/>
            </w:rPr>
            <w:t>涉某连锁电器销售商消费纠纷系列案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rPr>
            <w:fldChar w:fldCharType="begin"/>
          </w:r>
          <w:r>
            <w:rPr>
              <w:rFonts w:hint="eastAsia" w:ascii="等线" w:hAnsi="等线" w:eastAsia="等线" w:cs="等线"/>
              <w:sz w:val="24"/>
              <w:szCs w:val="24"/>
              <w:shd w:val="clear" w:color="auto" w:fill="auto"/>
            </w:rPr>
            <w:instrText xml:space="preserve"> PAGEREF _Toc24621 \h </w:instrText>
          </w:r>
          <w:r>
            <w:rPr>
              <w:rFonts w:hint="eastAsia" w:ascii="等线" w:hAnsi="等线" w:eastAsia="等线" w:cs="等线"/>
              <w:sz w:val="24"/>
              <w:szCs w:val="24"/>
              <w:shd w:val="clear" w:color="auto" w:fill="auto"/>
            </w:rPr>
            <w:fldChar w:fldCharType="separate"/>
          </w:r>
          <w:r>
            <w:rPr>
              <w:rFonts w:hint="eastAsia" w:ascii="等线" w:hAnsi="等线" w:eastAsia="等线" w:cs="等线"/>
              <w:sz w:val="24"/>
              <w:szCs w:val="24"/>
              <w:shd w:val="clear" w:color="auto" w:fill="auto"/>
            </w:rPr>
            <w:t>15</w:t>
          </w:r>
          <w:r>
            <w:rPr>
              <w:rFonts w:hint="eastAsia" w:ascii="等线" w:hAnsi="等线" w:eastAsia="等线" w:cs="等线"/>
              <w:sz w:val="24"/>
              <w:szCs w:val="24"/>
              <w:shd w:val="clear" w:color="auto" w:fill="auto"/>
            </w:rPr>
            <w:fldChar w:fldCharType="end"/>
          </w:r>
          <w:r>
            <w:rPr>
              <w:rFonts w:hint="eastAsia" w:ascii="等线" w:hAnsi="等线" w:eastAsia="等线" w:cs="等线"/>
              <w:bCs w:val="0"/>
              <w:sz w:val="24"/>
              <w:szCs w:val="40"/>
              <w:shd w:val="clear" w:color="auto" w:fill="auto"/>
              <w:lang w:val="en-US" w:eastAsia="zh-CN"/>
            </w:rPr>
            <w:fldChar w:fldCharType="end"/>
          </w:r>
        </w:p>
        <w:p>
          <w:pPr>
            <w:pStyle w:val="6"/>
            <w:tabs>
              <w:tab w:val="right" w:leader="dot" w:pos="8306"/>
            </w:tabs>
            <w:rPr>
              <w:rFonts w:hint="default" w:ascii="等线" w:hAnsi="等线" w:eastAsia="等线" w:cs="等线"/>
              <w:sz w:val="24"/>
              <w:szCs w:val="24"/>
              <w:shd w:val="clear" w:color="auto" w:fill="auto"/>
              <w:lang w:val="en-US"/>
            </w:rPr>
          </w:pPr>
          <w:r>
            <w:rPr>
              <w:rFonts w:hint="eastAsia" w:ascii="等线" w:hAnsi="等线" w:eastAsia="等线" w:cs="等线"/>
              <w:bCs w:val="0"/>
              <w:sz w:val="24"/>
              <w:szCs w:val="40"/>
              <w:shd w:val="clear" w:color="auto" w:fill="auto"/>
              <w:lang w:val="en-US" w:eastAsia="zh-CN"/>
            </w:rPr>
            <w:t xml:space="preserve">案例六 </w:t>
          </w: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_Toc23784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sz w:val="24"/>
              <w:szCs w:val="44"/>
              <w:shd w:val="clear" w:color="auto" w:fill="auto"/>
            </w:rPr>
            <w:t>丁某与石某消费服务合同纠纷案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lang w:val="en-US" w:eastAsia="zh-CN"/>
            </w:rPr>
            <w:t>1</w:t>
          </w:r>
          <w:r>
            <w:rPr>
              <w:rFonts w:hint="eastAsia" w:ascii="等线" w:hAnsi="等线" w:eastAsia="等线" w:cs="等线"/>
              <w:bCs w:val="0"/>
              <w:sz w:val="24"/>
              <w:szCs w:val="40"/>
              <w:shd w:val="clear" w:color="auto" w:fill="auto"/>
              <w:lang w:val="en-US" w:eastAsia="zh-CN"/>
            </w:rPr>
            <w:fldChar w:fldCharType="end"/>
          </w:r>
          <w:r>
            <w:rPr>
              <w:rFonts w:hint="eastAsia" w:ascii="等线" w:hAnsi="等线" w:eastAsia="等线" w:cs="等线"/>
              <w:bCs w:val="0"/>
              <w:sz w:val="24"/>
              <w:szCs w:val="40"/>
              <w:shd w:val="clear" w:color="auto" w:fill="auto"/>
              <w:lang w:val="en-US" w:eastAsia="zh-CN"/>
            </w:rPr>
            <w:t>9</w:t>
          </w:r>
        </w:p>
        <w:p>
          <w:pPr>
            <w:pStyle w:val="6"/>
            <w:tabs>
              <w:tab w:val="right" w:leader="dot" w:pos="8306"/>
            </w:tabs>
            <w:rPr>
              <w:rFonts w:hint="default" w:ascii="等线" w:hAnsi="等线" w:eastAsia="等线" w:cs="等线"/>
              <w:sz w:val="24"/>
              <w:szCs w:val="24"/>
              <w:shd w:val="clear" w:color="auto" w:fill="auto"/>
              <w:lang w:val="en-US"/>
            </w:rPr>
          </w:pP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_Toc11652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sz w:val="24"/>
              <w:szCs w:val="44"/>
              <w:shd w:val="clear" w:color="auto" w:fill="auto"/>
              <w:lang w:val="en-US" w:eastAsia="zh-CN"/>
            </w:rPr>
            <w:t xml:space="preserve">案例七 </w:t>
          </w:r>
          <w:r>
            <w:rPr>
              <w:rFonts w:hint="eastAsia" w:ascii="等线" w:hAnsi="等线" w:eastAsia="等线" w:cs="等线"/>
              <w:bCs/>
              <w:sz w:val="24"/>
              <w:szCs w:val="44"/>
              <w:shd w:val="clear" w:color="auto" w:fill="auto"/>
            </w:rPr>
            <w:t>高某与缪某某婚姻家庭纠纷案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lang w:val="en-US" w:eastAsia="zh-CN"/>
            </w:rPr>
            <w:t>2</w:t>
          </w:r>
          <w:r>
            <w:rPr>
              <w:rFonts w:hint="eastAsia" w:ascii="等线" w:hAnsi="等线" w:eastAsia="等线" w:cs="等线"/>
              <w:bCs w:val="0"/>
              <w:sz w:val="24"/>
              <w:szCs w:val="40"/>
              <w:shd w:val="clear" w:color="auto" w:fill="auto"/>
              <w:lang w:val="en-US" w:eastAsia="zh-CN"/>
            </w:rPr>
            <w:fldChar w:fldCharType="end"/>
          </w:r>
          <w:r>
            <w:rPr>
              <w:rFonts w:hint="eastAsia" w:ascii="等线" w:hAnsi="等线" w:eastAsia="等线" w:cs="等线"/>
              <w:bCs w:val="0"/>
              <w:sz w:val="24"/>
              <w:szCs w:val="40"/>
              <w:shd w:val="clear" w:color="auto" w:fill="auto"/>
              <w:lang w:val="en-US" w:eastAsia="zh-CN"/>
            </w:rPr>
            <w:t>3</w:t>
          </w:r>
        </w:p>
        <w:p>
          <w:pPr>
            <w:pStyle w:val="6"/>
            <w:tabs>
              <w:tab w:val="right" w:leader="dot" w:pos="8306"/>
            </w:tabs>
            <w:rPr>
              <w:rFonts w:hint="default" w:ascii="等线" w:hAnsi="等线" w:eastAsia="等线" w:cs="等线"/>
              <w:sz w:val="24"/>
              <w:szCs w:val="24"/>
              <w:shd w:val="clear" w:color="auto" w:fill="auto"/>
              <w:lang w:val="en-US"/>
            </w:rPr>
          </w:pPr>
          <w:r>
            <w:rPr>
              <w:rFonts w:hint="eastAsia" w:ascii="等线" w:hAnsi="等线" w:eastAsia="等线" w:cs="等线"/>
              <w:bCs w:val="0"/>
              <w:sz w:val="24"/>
              <w:szCs w:val="40"/>
              <w:shd w:val="clear" w:color="auto" w:fill="auto"/>
              <w:lang w:val="en-US" w:eastAsia="zh-CN"/>
            </w:rPr>
            <w:t xml:space="preserve">案例八 </w:t>
          </w: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_Toc23412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sz w:val="24"/>
              <w:szCs w:val="44"/>
              <w:shd w:val="clear" w:color="auto" w:fill="auto"/>
            </w:rPr>
            <w:t>某地产经纪公司与赵某合同纠纷案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lang w:val="en-US" w:eastAsia="zh-CN"/>
            </w:rPr>
            <w:t>2</w:t>
          </w:r>
          <w:r>
            <w:rPr>
              <w:rFonts w:hint="eastAsia" w:ascii="等线" w:hAnsi="等线" w:eastAsia="等线" w:cs="等线"/>
              <w:bCs w:val="0"/>
              <w:sz w:val="24"/>
              <w:szCs w:val="40"/>
              <w:shd w:val="clear" w:color="auto" w:fill="auto"/>
              <w:lang w:val="en-US" w:eastAsia="zh-CN"/>
            </w:rPr>
            <w:fldChar w:fldCharType="end"/>
          </w:r>
          <w:r>
            <w:rPr>
              <w:rFonts w:hint="eastAsia" w:ascii="等线" w:hAnsi="等线" w:eastAsia="等线" w:cs="等线"/>
              <w:bCs w:val="0"/>
              <w:sz w:val="24"/>
              <w:szCs w:val="40"/>
              <w:shd w:val="clear" w:color="auto" w:fill="auto"/>
              <w:lang w:val="en-US" w:eastAsia="zh-CN"/>
            </w:rPr>
            <w:t>7</w:t>
          </w:r>
        </w:p>
        <w:p>
          <w:pPr>
            <w:pStyle w:val="6"/>
            <w:tabs>
              <w:tab w:val="right" w:leader="dot" w:pos="8306"/>
            </w:tabs>
            <w:rPr>
              <w:rFonts w:hint="eastAsia" w:ascii="等线" w:hAnsi="等线" w:eastAsia="等线" w:cs="等线"/>
              <w:sz w:val="24"/>
              <w:szCs w:val="24"/>
              <w:shd w:val="clear" w:color="auto" w:fill="auto"/>
            </w:rPr>
          </w:pPr>
          <w:r>
            <w:rPr>
              <w:rFonts w:hint="eastAsia" w:ascii="等线" w:hAnsi="等线" w:eastAsia="等线" w:cs="等线"/>
              <w:bCs w:val="0"/>
              <w:sz w:val="24"/>
              <w:szCs w:val="40"/>
              <w:shd w:val="clear" w:color="auto" w:fill="auto"/>
              <w:lang w:val="en-US" w:eastAsia="zh-CN"/>
            </w:rPr>
            <w:fldChar w:fldCharType="begin"/>
          </w:r>
          <w:r>
            <w:rPr>
              <w:rFonts w:hint="eastAsia" w:ascii="等线" w:hAnsi="等线" w:eastAsia="等线" w:cs="等线"/>
              <w:bCs w:val="0"/>
              <w:sz w:val="24"/>
              <w:szCs w:val="40"/>
              <w:shd w:val="clear" w:color="auto" w:fill="auto"/>
              <w:lang w:val="en-US" w:eastAsia="zh-CN"/>
            </w:rPr>
            <w:instrText xml:space="preserve"> HYPERLINK \l _Toc21966 </w:instrText>
          </w:r>
          <w:r>
            <w:rPr>
              <w:rFonts w:hint="eastAsia" w:ascii="等线" w:hAnsi="等线" w:eastAsia="等线" w:cs="等线"/>
              <w:bCs w:val="0"/>
              <w:sz w:val="24"/>
              <w:szCs w:val="40"/>
              <w:shd w:val="clear" w:color="auto" w:fill="auto"/>
              <w:lang w:val="en-US" w:eastAsia="zh-CN"/>
            </w:rPr>
            <w:fldChar w:fldCharType="separate"/>
          </w:r>
          <w:r>
            <w:rPr>
              <w:rFonts w:hint="eastAsia" w:ascii="等线" w:hAnsi="等线" w:eastAsia="等线" w:cs="等线"/>
              <w:bCs w:val="0"/>
              <w:sz w:val="24"/>
              <w:szCs w:val="40"/>
              <w:shd w:val="clear" w:color="auto" w:fill="auto"/>
              <w:lang w:val="en-US" w:eastAsia="zh-CN"/>
            </w:rPr>
            <w:t xml:space="preserve">案例九 </w:t>
          </w:r>
          <w:r>
            <w:rPr>
              <w:rFonts w:hint="eastAsia" w:ascii="等线" w:hAnsi="等线" w:eastAsia="等线" w:cs="等线"/>
              <w:bCs/>
              <w:sz w:val="24"/>
              <w:szCs w:val="44"/>
              <w:shd w:val="clear" w:color="auto" w:fill="auto"/>
            </w:rPr>
            <w:t>盛某等人与严某抚育费纠纷案</w:t>
          </w:r>
          <w:r>
            <w:rPr>
              <w:rFonts w:hint="eastAsia" w:ascii="等线" w:hAnsi="等线" w:eastAsia="等线" w:cs="等线"/>
              <w:sz w:val="24"/>
              <w:szCs w:val="24"/>
              <w:shd w:val="clear" w:color="auto" w:fill="auto"/>
            </w:rPr>
            <w:tab/>
          </w:r>
          <w:r>
            <w:rPr>
              <w:rFonts w:hint="eastAsia" w:ascii="等线" w:hAnsi="等线" w:eastAsia="等线" w:cs="等线"/>
              <w:sz w:val="24"/>
              <w:szCs w:val="24"/>
              <w:shd w:val="clear" w:color="auto" w:fill="auto"/>
            </w:rPr>
            <w:fldChar w:fldCharType="begin"/>
          </w:r>
          <w:r>
            <w:rPr>
              <w:rFonts w:hint="eastAsia" w:ascii="等线" w:hAnsi="等线" w:eastAsia="等线" w:cs="等线"/>
              <w:sz w:val="24"/>
              <w:szCs w:val="24"/>
              <w:shd w:val="clear" w:color="auto" w:fill="auto"/>
            </w:rPr>
            <w:instrText xml:space="preserve"> PAGEREF _Toc21966 \h </w:instrText>
          </w:r>
          <w:r>
            <w:rPr>
              <w:rFonts w:hint="eastAsia" w:ascii="等线" w:hAnsi="等线" w:eastAsia="等线" w:cs="等线"/>
              <w:sz w:val="24"/>
              <w:szCs w:val="24"/>
              <w:shd w:val="clear" w:color="auto" w:fill="auto"/>
            </w:rPr>
            <w:fldChar w:fldCharType="separate"/>
          </w:r>
          <w:r>
            <w:rPr>
              <w:rFonts w:hint="eastAsia" w:ascii="等线" w:hAnsi="等线" w:eastAsia="等线" w:cs="等线"/>
              <w:sz w:val="24"/>
              <w:szCs w:val="24"/>
              <w:shd w:val="clear" w:color="auto" w:fill="auto"/>
            </w:rPr>
            <w:t>3</w:t>
          </w:r>
          <w:r>
            <w:rPr>
              <w:rFonts w:hint="eastAsia" w:ascii="等线" w:hAnsi="等线" w:eastAsia="等线" w:cs="等线"/>
              <w:sz w:val="24"/>
              <w:szCs w:val="24"/>
              <w:shd w:val="clear" w:color="auto" w:fill="auto"/>
              <w:lang w:val="en-US" w:eastAsia="zh-CN"/>
            </w:rPr>
            <w:t>1</w:t>
          </w:r>
          <w:r>
            <w:rPr>
              <w:rFonts w:hint="eastAsia" w:ascii="等线" w:hAnsi="等线" w:eastAsia="等线" w:cs="等线"/>
              <w:sz w:val="24"/>
              <w:szCs w:val="24"/>
              <w:shd w:val="clear" w:color="auto" w:fill="auto"/>
            </w:rPr>
            <w:fldChar w:fldCharType="end"/>
          </w:r>
          <w:r>
            <w:rPr>
              <w:rFonts w:hint="eastAsia" w:ascii="等线" w:hAnsi="等线" w:eastAsia="等线" w:cs="等线"/>
              <w:bCs w:val="0"/>
              <w:sz w:val="24"/>
              <w:szCs w:val="40"/>
              <w:shd w:val="clear" w:color="auto" w:fill="auto"/>
              <w:lang w:val="en-US" w:eastAsia="zh-CN"/>
            </w:rPr>
            <w:fldChar w:fldCharType="end"/>
          </w:r>
        </w:p>
        <w:p>
          <w:pPr>
            <w:pStyle w:val="6"/>
            <w:tabs>
              <w:tab w:val="right" w:leader="dot" w:pos="8306"/>
            </w:tabs>
            <w:rPr>
              <w:rFonts w:hint="eastAsia" w:ascii="等线" w:hAnsi="等线" w:eastAsia="等线" w:cs="等线"/>
              <w:sz w:val="24"/>
              <w:szCs w:val="24"/>
            </w:rPr>
          </w:pPr>
          <w:r>
            <w:rPr>
              <w:rFonts w:hint="eastAsia" w:ascii="等线" w:hAnsi="等线" w:eastAsia="等线" w:cs="等线"/>
              <w:bCs w:val="0"/>
              <w:sz w:val="28"/>
              <w:szCs w:val="40"/>
              <w:shd w:val="clear" w:color="auto" w:fill="auto"/>
              <w:lang w:val="en-US" w:eastAsia="zh-CN"/>
            </w:rPr>
            <w:fldChar w:fldCharType="end"/>
          </w:r>
          <w:r>
            <w:rPr>
              <w:rFonts w:hint="eastAsia" w:ascii="等线" w:hAnsi="等线" w:eastAsia="等线" w:cs="等线"/>
              <w:bCs w:val="0"/>
              <w:sz w:val="24"/>
              <w:szCs w:val="40"/>
              <w:lang w:val="en-US" w:eastAsia="zh-CN"/>
            </w:rPr>
            <w:fldChar w:fldCharType="begin"/>
          </w:r>
          <w:r>
            <w:rPr>
              <w:rFonts w:hint="eastAsia" w:ascii="等线" w:hAnsi="等线" w:eastAsia="等线" w:cs="等线"/>
              <w:bCs w:val="0"/>
              <w:sz w:val="24"/>
              <w:szCs w:val="40"/>
              <w:lang w:val="en-US" w:eastAsia="zh-CN"/>
            </w:rPr>
            <w:instrText xml:space="preserve"> HYPERLINK \l _Toc21966 </w:instrText>
          </w:r>
          <w:r>
            <w:rPr>
              <w:rFonts w:hint="eastAsia" w:ascii="等线" w:hAnsi="等线" w:eastAsia="等线" w:cs="等线"/>
              <w:bCs w:val="0"/>
              <w:sz w:val="24"/>
              <w:szCs w:val="40"/>
              <w:lang w:val="en-US" w:eastAsia="zh-CN"/>
            </w:rPr>
            <w:fldChar w:fldCharType="separate"/>
          </w:r>
          <w:r>
            <w:rPr>
              <w:rFonts w:hint="eastAsia" w:ascii="等线" w:hAnsi="等线" w:eastAsia="等线" w:cs="等线"/>
              <w:bCs w:val="0"/>
              <w:sz w:val="24"/>
              <w:szCs w:val="40"/>
              <w:lang w:val="en-US" w:eastAsia="zh-CN"/>
            </w:rPr>
            <w:t xml:space="preserve">案例十 </w:t>
          </w:r>
          <w:r>
            <w:rPr>
              <w:rFonts w:hint="eastAsia" w:ascii="等线" w:hAnsi="等线" w:eastAsia="等线" w:cs="等线"/>
              <w:bCs/>
              <w:sz w:val="24"/>
              <w:szCs w:val="44"/>
            </w:rPr>
            <w:t>孙某某等与汤某三等法定继承纠纷案</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_Toc21966 \h </w:instrText>
          </w:r>
          <w:r>
            <w:rPr>
              <w:rFonts w:hint="eastAsia" w:ascii="等线" w:hAnsi="等线" w:eastAsia="等线" w:cs="等线"/>
              <w:sz w:val="24"/>
              <w:szCs w:val="24"/>
            </w:rPr>
            <w:fldChar w:fldCharType="separate"/>
          </w:r>
          <w:r>
            <w:rPr>
              <w:rFonts w:hint="eastAsia" w:ascii="等线" w:hAnsi="等线" w:eastAsia="等线" w:cs="等线"/>
              <w:sz w:val="24"/>
              <w:szCs w:val="24"/>
            </w:rPr>
            <w:t>34</w:t>
          </w:r>
          <w:r>
            <w:rPr>
              <w:rFonts w:hint="eastAsia" w:ascii="等线" w:hAnsi="等线" w:eastAsia="等线" w:cs="等线"/>
              <w:sz w:val="24"/>
              <w:szCs w:val="24"/>
            </w:rPr>
            <w:fldChar w:fldCharType="end"/>
          </w:r>
          <w:r>
            <w:rPr>
              <w:rFonts w:hint="eastAsia" w:ascii="等线" w:hAnsi="等线" w:eastAsia="等线" w:cs="等线"/>
              <w:bCs w:val="0"/>
              <w:sz w:val="24"/>
              <w:szCs w:val="40"/>
              <w:lang w:val="en-US" w:eastAsia="zh-CN"/>
            </w:rPr>
            <w:fldChar w:fldCharType="end"/>
          </w:r>
        </w:p>
        <w:p>
          <w:pPr>
            <w:spacing w:line="600" w:lineRule="exact"/>
            <w:jc w:val="both"/>
            <w:rPr>
              <w:rFonts w:hint="eastAsia" w:ascii="阿里巴巴普惠体 H" w:hAnsi="阿里巴巴普惠体 H" w:eastAsia="阿里巴巴普惠体 H" w:cs="阿里巴巴普惠体 H"/>
              <w:b/>
              <w:bCs w:val="0"/>
              <w:sz w:val="44"/>
              <w:szCs w:val="44"/>
              <w:lang w:val="en-US" w:eastAsia="zh-CN"/>
            </w:rPr>
          </w:pPr>
        </w:p>
      </w:sdtContent>
    </w:sdt>
    <w:p>
      <w:pPr>
        <w:spacing w:line="600" w:lineRule="exact"/>
        <w:jc w:val="center"/>
        <w:rPr>
          <w:rFonts w:hint="eastAsia" w:ascii="阿里巴巴普惠体 H" w:hAnsi="阿里巴巴普惠体 H" w:eastAsia="阿里巴巴普惠体 H" w:cs="阿里巴巴普惠体 H"/>
          <w:b/>
          <w:bCs w:val="0"/>
          <w:sz w:val="28"/>
          <w:szCs w:val="28"/>
          <w:lang w:val="en-US" w:eastAsia="zh-CN"/>
        </w:rPr>
      </w:pPr>
    </w:p>
    <w:p>
      <w:pPr>
        <w:spacing w:line="600" w:lineRule="exact"/>
        <w:jc w:val="center"/>
        <w:rPr>
          <w:rFonts w:hint="eastAsia" w:ascii="阿里巴巴普惠体 H" w:hAnsi="阿里巴巴普惠体 H" w:eastAsia="阿里巴巴普惠体 H" w:cs="阿里巴巴普惠体 H"/>
          <w:b/>
          <w:bCs w:val="0"/>
          <w:sz w:val="28"/>
          <w:szCs w:val="28"/>
          <w:lang w:val="en-US" w:eastAsia="zh-CN"/>
        </w:rPr>
      </w:pPr>
    </w:p>
    <w:p>
      <w:pPr>
        <w:spacing w:line="600" w:lineRule="exact"/>
        <w:jc w:val="center"/>
        <w:rPr>
          <w:rFonts w:hint="eastAsia" w:ascii="阿里巴巴普惠体 H" w:hAnsi="阿里巴巴普惠体 H" w:eastAsia="阿里巴巴普惠体 H" w:cs="阿里巴巴普惠体 H"/>
          <w:b/>
          <w:bCs w:val="0"/>
          <w:sz w:val="28"/>
          <w:szCs w:val="28"/>
          <w:lang w:val="en-US" w:eastAsia="zh-CN"/>
        </w:rPr>
      </w:pPr>
    </w:p>
    <w:p>
      <w:pPr>
        <w:spacing w:line="600" w:lineRule="exact"/>
        <w:jc w:val="center"/>
        <w:rPr>
          <w:rFonts w:hint="eastAsia" w:ascii="阿里巴巴普惠体 H" w:hAnsi="阿里巴巴普惠体 H" w:eastAsia="阿里巴巴普惠体 H" w:cs="阿里巴巴普惠体 H"/>
          <w:b/>
          <w:bCs w:val="0"/>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p>
    <w:p>
      <w:pPr>
        <w:spacing w:line="600" w:lineRule="exact"/>
        <w:rPr>
          <w:rFonts w:hint="eastAsia" w:ascii="黑体" w:hAnsi="黑体" w:eastAsia="黑体"/>
          <w:bCs/>
          <w:sz w:val="28"/>
          <w:szCs w:val="28"/>
        </w:rPr>
      </w:pPr>
      <w:r>
        <w:rPr>
          <w:rFonts w:hint="eastAsia" w:ascii="黑体" w:hAnsi="黑体" w:eastAsia="黑体"/>
          <w:bCs/>
          <w:sz w:val="28"/>
          <w:szCs w:val="28"/>
        </w:rPr>
        <w:t>【案例</w:t>
      </w:r>
      <w:r>
        <w:rPr>
          <w:rFonts w:ascii="黑体" w:hAnsi="黑体" w:eastAsia="黑体"/>
          <w:bCs/>
          <w:sz w:val="28"/>
          <w:szCs w:val="28"/>
        </w:rPr>
        <w:t>1</w:t>
      </w:r>
      <w:r>
        <w:rPr>
          <w:rFonts w:hint="eastAsia" w:ascii="黑体" w:hAnsi="黑体" w:eastAsia="黑体"/>
          <w:bCs/>
          <w:sz w:val="28"/>
          <w:szCs w:val="28"/>
        </w:rPr>
        <w:t>】</w:t>
      </w:r>
    </w:p>
    <w:p>
      <w:pPr>
        <w:spacing w:line="600" w:lineRule="exact"/>
        <w:jc w:val="center"/>
        <w:rPr>
          <w:rFonts w:hint="eastAsia"/>
          <w:b/>
          <w:bCs/>
          <w:sz w:val="28"/>
          <w:szCs w:val="28"/>
        </w:rPr>
      </w:pPr>
    </w:p>
    <w:p>
      <w:pPr>
        <w:spacing w:line="600" w:lineRule="exact"/>
        <w:jc w:val="center"/>
        <w:outlineLvl w:val="0"/>
        <w:rPr>
          <w:rFonts w:hint="eastAsia" w:ascii="华文中宋" w:hAnsi="华文中宋" w:eastAsia="华文中宋"/>
          <w:bCs/>
          <w:sz w:val="32"/>
          <w:szCs w:val="32"/>
        </w:rPr>
      </w:pPr>
      <w:bookmarkStart w:id="0" w:name="_Toc28594"/>
      <w:r>
        <w:rPr>
          <w:rFonts w:hint="eastAsia" w:ascii="华文中宋" w:hAnsi="华文中宋" w:eastAsia="华文中宋"/>
          <w:bCs/>
          <w:sz w:val="32"/>
          <w:szCs w:val="32"/>
        </w:rPr>
        <w:t>以调解破解金融借款中的提前收贷困局</w:t>
      </w:r>
      <w:bookmarkEnd w:id="0"/>
    </w:p>
    <w:p>
      <w:pPr>
        <w:spacing w:line="600" w:lineRule="exact"/>
        <w:jc w:val="center"/>
        <w:rPr>
          <w:rFonts w:hint="eastAsia"/>
          <w:bCs/>
          <w:sz w:val="32"/>
          <w:szCs w:val="32"/>
        </w:rPr>
      </w:pPr>
      <w:r>
        <w:rPr>
          <w:rFonts w:hint="eastAsia"/>
          <w:bCs/>
          <w:sz w:val="32"/>
          <w:szCs w:val="32"/>
        </w:rPr>
        <w:t>——某银行诉周某等金融借款合同纠纷案</w:t>
      </w:r>
    </w:p>
    <w:p>
      <w:pPr>
        <w:spacing w:line="600" w:lineRule="exact"/>
        <w:rPr>
          <w:rFonts w:hint="eastAsia"/>
          <w:b/>
          <w:bCs/>
          <w:sz w:val="28"/>
          <w:szCs w:val="28"/>
        </w:rPr>
      </w:pPr>
    </w:p>
    <w:p>
      <w:pPr>
        <w:spacing w:line="600" w:lineRule="exact"/>
        <w:rPr>
          <w:rFonts w:hint="eastAsia" w:ascii="仿宋" w:hAnsi="仿宋" w:eastAsia="仿宋"/>
          <w:b/>
          <w:bCs/>
          <w:sz w:val="28"/>
          <w:szCs w:val="28"/>
        </w:rPr>
      </w:pPr>
      <w:r>
        <w:rPr>
          <w:rFonts w:hint="eastAsia" w:ascii="仿宋" w:hAnsi="仿宋" w:eastAsia="仿宋"/>
          <w:b/>
          <w:bCs/>
          <w:sz w:val="28"/>
          <w:szCs w:val="28"/>
        </w:rPr>
        <w:t>基本案情：</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2020年3月，原告</w:t>
      </w:r>
      <w:r>
        <w:rPr>
          <w:rFonts w:ascii="仿宋" w:hAnsi="仿宋" w:eastAsia="仿宋"/>
          <w:sz w:val="28"/>
          <w:szCs w:val="28"/>
          <w:lang w:val="en"/>
        </w:rPr>
        <w:t>某银行</w:t>
      </w:r>
      <w:r>
        <w:rPr>
          <w:rFonts w:hint="eastAsia" w:ascii="仿宋" w:hAnsi="仿宋" w:eastAsia="仿宋"/>
          <w:sz w:val="28"/>
          <w:szCs w:val="28"/>
        </w:rPr>
        <w:t>与被告</w:t>
      </w:r>
      <w:r>
        <w:rPr>
          <w:rFonts w:ascii="仿宋" w:hAnsi="仿宋" w:eastAsia="仿宋"/>
          <w:sz w:val="28"/>
          <w:szCs w:val="28"/>
          <w:lang w:val="en"/>
        </w:rPr>
        <w:t>周某</w:t>
      </w:r>
      <w:r>
        <w:rPr>
          <w:rFonts w:hint="eastAsia" w:ascii="仿宋" w:hAnsi="仿宋" w:eastAsia="仿宋"/>
          <w:sz w:val="28"/>
          <w:szCs w:val="28"/>
        </w:rPr>
        <w:t>签订《个人二手住房</w:t>
      </w:r>
      <w:r>
        <w:rPr>
          <w:rFonts w:ascii="仿宋" w:hAnsi="仿宋" w:eastAsia="仿宋"/>
          <w:sz w:val="28"/>
          <w:szCs w:val="28"/>
          <w:lang w:val="en"/>
        </w:rPr>
        <w:t>借款</w:t>
      </w:r>
      <w:r>
        <w:rPr>
          <w:rFonts w:hint="eastAsia" w:ascii="仿宋" w:hAnsi="仿宋" w:eastAsia="仿宋"/>
          <w:sz w:val="28"/>
          <w:szCs w:val="28"/>
        </w:rPr>
        <w:t>合同》，约定被告</w:t>
      </w:r>
      <w:r>
        <w:rPr>
          <w:rFonts w:ascii="仿宋" w:hAnsi="仿宋" w:eastAsia="仿宋"/>
          <w:sz w:val="28"/>
          <w:szCs w:val="28"/>
          <w:lang w:val="en"/>
        </w:rPr>
        <w:t>周某</w:t>
      </w:r>
      <w:r>
        <w:rPr>
          <w:rFonts w:hint="eastAsia" w:ascii="仿宋" w:hAnsi="仿宋" w:eastAsia="仿宋"/>
          <w:sz w:val="28"/>
          <w:szCs w:val="28"/>
        </w:rPr>
        <w:t>向原告</w:t>
      </w:r>
      <w:r>
        <w:rPr>
          <w:rFonts w:ascii="仿宋" w:hAnsi="仿宋" w:eastAsia="仿宋"/>
          <w:sz w:val="28"/>
          <w:szCs w:val="28"/>
          <w:lang w:val="en"/>
        </w:rPr>
        <w:t>某银行</w:t>
      </w:r>
      <w:r>
        <w:rPr>
          <w:rFonts w:hint="eastAsia" w:ascii="仿宋" w:hAnsi="仿宋" w:eastAsia="仿宋"/>
          <w:sz w:val="28"/>
          <w:szCs w:val="28"/>
        </w:rPr>
        <w:t>借款80万元，用于购买本市一处房产，借款期限30年；涉案房屋登记在被告</w:t>
      </w:r>
      <w:r>
        <w:rPr>
          <w:rFonts w:ascii="仿宋" w:hAnsi="仿宋" w:eastAsia="仿宋"/>
          <w:sz w:val="28"/>
          <w:szCs w:val="28"/>
          <w:lang w:val="en"/>
        </w:rPr>
        <w:t>周某</w:t>
      </w:r>
      <w:r>
        <w:rPr>
          <w:rFonts w:hint="eastAsia" w:ascii="仿宋" w:hAnsi="仿宋" w:eastAsia="仿宋"/>
          <w:sz w:val="28"/>
          <w:szCs w:val="28"/>
        </w:rPr>
        <w:t>及其亲属</w:t>
      </w:r>
      <w:r>
        <w:rPr>
          <w:rFonts w:ascii="仿宋" w:hAnsi="仿宋" w:eastAsia="仿宋"/>
          <w:sz w:val="28"/>
          <w:szCs w:val="28"/>
          <w:lang w:val="en"/>
        </w:rPr>
        <w:t>孙某、朱某、朱某某</w:t>
      </w:r>
      <w:r>
        <w:rPr>
          <w:rFonts w:hint="eastAsia" w:ascii="仿宋" w:hAnsi="仿宋" w:eastAsia="仿宋"/>
          <w:sz w:val="28"/>
          <w:szCs w:val="28"/>
        </w:rPr>
        <w:t>名下，被告</w:t>
      </w:r>
      <w:r>
        <w:rPr>
          <w:rFonts w:ascii="仿宋" w:hAnsi="仿宋" w:eastAsia="仿宋"/>
          <w:sz w:val="28"/>
          <w:szCs w:val="28"/>
          <w:lang w:val="en"/>
        </w:rPr>
        <w:t>孙某、朱某、朱某某</w:t>
      </w:r>
      <w:r>
        <w:rPr>
          <w:rFonts w:hint="eastAsia" w:ascii="仿宋" w:hAnsi="仿宋" w:eastAsia="仿宋"/>
          <w:sz w:val="28"/>
          <w:szCs w:val="28"/>
        </w:rPr>
        <w:t>作为涉案房产共有人同意以涉案房屋为上述借款提供抵押担保。</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四被告系家庭共同生活成员，还款来源主要为被告</w:t>
      </w:r>
      <w:r>
        <w:rPr>
          <w:rFonts w:ascii="仿宋" w:hAnsi="仿宋" w:eastAsia="仿宋"/>
          <w:sz w:val="28"/>
          <w:szCs w:val="28"/>
          <w:lang w:val="en"/>
        </w:rPr>
        <w:t>周某</w:t>
      </w:r>
      <w:r>
        <w:rPr>
          <w:rFonts w:hint="eastAsia" w:ascii="仿宋" w:hAnsi="仿宋" w:eastAsia="仿宋"/>
          <w:sz w:val="28"/>
          <w:szCs w:val="28"/>
        </w:rPr>
        <w:t>工资收入。受疫情影响，被告</w:t>
      </w:r>
      <w:r>
        <w:rPr>
          <w:rFonts w:ascii="仿宋" w:hAnsi="仿宋" w:eastAsia="仿宋"/>
          <w:sz w:val="28"/>
          <w:szCs w:val="28"/>
          <w:lang w:val="en"/>
        </w:rPr>
        <w:t>周某</w:t>
      </w:r>
      <w:r>
        <w:rPr>
          <w:rFonts w:hint="eastAsia" w:ascii="仿宋" w:hAnsi="仿宋" w:eastAsia="仿宋"/>
          <w:sz w:val="28"/>
          <w:szCs w:val="28"/>
        </w:rPr>
        <w:t>工资收入有所下降。自2022年7月起，被告</w:t>
      </w:r>
      <w:r>
        <w:rPr>
          <w:rFonts w:ascii="仿宋" w:hAnsi="仿宋" w:eastAsia="仿宋"/>
          <w:sz w:val="28"/>
          <w:szCs w:val="28"/>
          <w:lang w:val="en"/>
        </w:rPr>
        <w:t>周某</w:t>
      </w:r>
      <w:r>
        <w:rPr>
          <w:rFonts w:hint="eastAsia" w:ascii="仿宋" w:hAnsi="仿宋" w:eastAsia="仿宋"/>
          <w:sz w:val="28"/>
          <w:szCs w:val="28"/>
        </w:rPr>
        <w:t>开始出现逾期还款的违约情形。原告催讨未果后，于2022年11月通知被告</w:t>
      </w:r>
      <w:r>
        <w:rPr>
          <w:rFonts w:ascii="仿宋" w:hAnsi="仿宋" w:eastAsia="仿宋"/>
          <w:sz w:val="28"/>
          <w:szCs w:val="28"/>
          <w:lang w:val="en"/>
        </w:rPr>
        <w:t>周某借款</w:t>
      </w:r>
      <w:r>
        <w:rPr>
          <w:rFonts w:hint="eastAsia" w:ascii="仿宋" w:hAnsi="仿宋" w:eastAsia="仿宋"/>
          <w:sz w:val="28"/>
          <w:szCs w:val="28"/>
        </w:rPr>
        <w:t>提前到期，要求立即归还</w:t>
      </w:r>
      <w:r>
        <w:rPr>
          <w:rFonts w:ascii="仿宋" w:hAnsi="仿宋" w:eastAsia="仿宋"/>
          <w:sz w:val="28"/>
          <w:szCs w:val="28"/>
          <w:lang w:val="en"/>
        </w:rPr>
        <w:t>借款</w:t>
      </w:r>
      <w:r>
        <w:rPr>
          <w:rFonts w:hint="eastAsia" w:ascii="仿宋" w:hAnsi="仿宋" w:eastAsia="仿宋"/>
          <w:sz w:val="28"/>
          <w:szCs w:val="28"/>
        </w:rPr>
        <w:t>本息或提前处置抵押物，于2023年2月起诉至法院，主张被告</w:t>
      </w:r>
      <w:r>
        <w:rPr>
          <w:rFonts w:ascii="仿宋" w:hAnsi="仿宋" w:eastAsia="仿宋"/>
          <w:sz w:val="28"/>
          <w:szCs w:val="28"/>
          <w:lang w:val="en"/>
        </w:rPr>
        <w:t>周某</w:t>
      </w:r>
      <w:r>
        <w:rPr>
          <w:rFonts w:hint="eastAsia" w:ascii="仿宋" w:hAnsi="仿宋" w:eastAsia="仿宋"/>
          <w:sz w:val="28"/>
          <w:szCs w:val="28"/>
        </w:rPr>
        <w:t>归还全部借款本金及利息、罚息、律师费，并处置四被告共有的涉案房屋用以清偿债务。</w:t>
      </w:r>
    </w:p>
    <w:p>
      <w:pPr>
        <w:spacing w:line="600" w:lineRule="exact"/>
        <w:ind w:firstLine="560" w:firstLineChars="200"/>
        <w:rPr>
          <w:rFonts w:hint="eastAsia" w:ascii="仿宋" w:hAnsi="仿宋" w:eastAsia="仿宋"/>
          <w:sz w:val="28"/>
          <w:szCs w:val="28"/>
        </w:rPr>
      </w:pPr>
    </w:p>
    <w:p>
      <w:pPr>
        <w:spacing w:line="600" w:lineRule="exact"/>
        <w:rPr>
          <w:rFonts w:hint="eastAsia" w:ascii="仿宋" w:hAnsi="仿宋" w:eastAsia="仿宋"/>
          <w:b/>
          <w:bCs/>
          <w:sz w:val="28"/>
          <w:szCs w:val="28"/>
        </w:rPr>
      </w:pPr>
      <w:r>
        <w:rPr>
          <w:rFonts w:hint="eastAsia" w:ascii="仿宋" w:hAnsi="仿宋" w:eastAsia="仿宋"/>
          <w:b/>
          <w:bCs/>
          <w:sz w:val="28"/>
          <w:szCs w:val="28"/>
        </w:rPr>
        <w:t>调解经过：</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庭审查明，被告周某自2022年7月起，出现逾期未还的情况，后虽经原告催讨，被告周某陆续还款。但截至本案开庭时，被告周某已经欠付超过8期的</w:t>
      </w:r>
      <w:r>
        <w:rPr>
          <w:rFonts w:ascii="仿宋" w:hAnsi="仿宋" w:eastAsia="仿宋"/>
          <w:sz w:val="28"/>
          <w:szCs w:val="28"/>
          <w:lang w:val="en"/>
        </w:rPr>
        <w:t>借款</w:t>
      </w:r>
      <w:r>
        <w:rPr>
          <w:rFonts w:hint="eastAsia" w:ascii="仿宋" w:hAnsi="仿宋" w:eastAsia="仿宋"/>
          <w:sz w:val="28"/>
          <w:szCs w:val="28"/>
        </w:rPr>
        <w:t>本息，并产生了相应的罚息，违约情形比较严重。根据双方签订的《个人二手住房</w:t>
      </w:r>
      <w:r>
        <w:rPr>
          <w:rFonts w:ascii="仿宋" w:hAnsi="仿宋" w:eastAsia="仿宋"/>
          <w:sz w:val="28"/>
          <w:szCs w:val="28"/>
          <w:lang w:val="en"/>
        </w:rPr>
        <w:t>借款</w:t>
      </w:r>
      <w:r>
        <w:rPr>
          <w:rFonts w:hint="eastAsia" w:ascii="仿宋" w:hAnsi="仿宋" w:eastAsia="仿宋"/>
          <w:sz w:val="28"/>
          <w:szCs w:val="28"/>
        </w:rPr>
        <w:t>合同》的约定，原告有权宣布合同项下</w:t>
      </w:r>
      <w:r>
        <w:rPr>
          <w:rFonts w:ascii="仿宋" w:hAnsi="仿宋" w:eastAsia="仿宋"/>
          <w:sz w:val="28"/>
          <w:szCs w:val="28"/>
          <w:lang w:val="en"/>
        </w:rPr>
        <w:t>借款</w:t>
      </w:r>
      <w:r>
        <w:rPr>
          <w:rFonts w:hint="eastAsia" w:ascii="仿宋" w:hAnsi="仿宋" w:eastAsia="仿宋"/>
          <w:sz w:val="28"/>
          <w:szCs w:val="28"/>
        </w:rPr>
        <w:t>本息提前到期并要求被告周某一次性偿还全部</w:t>
      </w:r>
      <w:r>
        <w:rPr>
          <w:rFonts w:ascii="仿宋" w:hAnsi="仿宋" w:eastAsia="仿宋"/>
          <w:sz w:val="28"/>
          <w:szCs w:val="28"/>
          <w:lang w:val="en"/>
        </w:rPr>
        <w:t>借款</w:t>
      </w:r>
      <w:r>
        <w:rPr>
          <w:rFonts w:hint="eastAsia" w:ascii="仿宋" w:hAnsi="仿宋" w:eastAsia="仿宋"/>
          <w:sz w:val="28"/>
          <w:szCs w:val="28"/>
        </w:rPr>
        <w:t>本息，否则将处置四被告共有的涉案房屋用以清偿债务。</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经询问，被告周某有还款的意愿，也有一定的经济能力，但是需要时间周转。在组织双方仔细核算逾期金额及被告还款能力的基础上，主审法官提出优先偿还逾期部分的</w:t>
      </w:r>
      <w:r>
        <w:rPr>
          <w:rFonts w:ascii="仿宋" w:hAnsi="仿宋" w:eastAsia="仿宋"/>
          <w:sz w:val="28"/>
          <w:szCs w:val="28"/>
          <w:lang w:val="en"/>
        </w:rPr>
        <w:t>借款</w:t>
      </w:r>
      <w:r>
        <w:rPr>
          <w:rFonts w:hint="eastAsia" w:ascii="仿宋" w:hAnsi="仿宋" w:eastAsia="仿宋"/>
          <w:sz w:val="28"/>
          <w:szCs w:val="28"/>
        </w:rPr>
        <w:t>本息，未到期部分按照合同继续履行的调解方案供原、被告参考。被告周某提出希望原告减免部分利息和费用，并延长逾期部分的付款期限至2023年年底。原告代理律师对该方案明确拒绝，表示逾期部分必须尽快清偿后，才能向总行申请继续履行合同。主审法官从双方的利益最大化出发，与原、被告分别进行交流，分析利弊得失。在主审法官的斡旋下，原、被告又进行了多次协商，最终达成一致调解意见：被告</w:t>
      </w:r>
      <w:r>
        <w:rPr>
          <w:rFonts w:ascii="仿宋" w:hAnsi="仿宋" w:eastAsia="仿宋"/>
          <w:sz w:val="28"/>
          <w:szCs w:val="28"/>
          <w:lang w:val="en"/>
        </w:rPr>
        <w:t>周某</w:t>
      </w:r>
      <w:r>
        <w:rPr>
          <w:rFonts w:hint="eastAsia" w:ascii="仿宋" w:hAnsi="仿宋" w:eastAsia="仿宋"/>
          <w:sz w:val="28"/>
          <w:szCs w:val="28"/>
          <w:lang w:val="en"/>
        </w:rPr>
        <w:t>承诺</w:t>
      </w:r>
      <w:r>
        <w:rPr>
          <w:rFonts w:hint="eastAsia" w:ascii="仿宋" w:hAnsi="仿宋" w:eastAsia="仿宋"/>
          <w:sz w:val="28"/>
          <w:szCs w:val="28"/>
        </w:rPr>
        <w:t>于2023年5月归还截至2023年4月已逾期的借款本金、利息及罚息共计5万余元，原告同意适当减免实现债权的费用；原、被告自2023年5月起仍按照原合同继续履行；若被告</w:t>
      </w:r>
      <w:r>
        <w:rPr>
          <w:rFonts w:ascii="仿宋" w:hAnsi="仿宋" w:eastAsia="仿宋"/>
          <w:sz w:val="28"/>
          <w:szCs w:val="28"/>
          <w:lang w:val="en"/>
        </w:rPr>
        <w:t>周某</w:t>
      </w:r>
      <w:r>
        <w:rPr>
          <w:rFonts w:hint="eastAsia" w:ascii="仿宋" w:hAnsi="仿宋" w:eastAsia="仿宋"/>
          <w:sz w:val="28"/>
          <w:szCs w:val="28"/>
        </w:rPr>
        <w:t>未按约履行上述付款义务，则原告有权要求以抵押房产拍卖、变卖后的价款优先受偿涉案合同项下债权。</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调解协议签订后，被告周某如期、足额偿还了逾期借款本息，并继续按照原合同偿还月供。四被告得以保全居所，原告也能顺利收回贷款，真正实现了双赢，取得了良好的社会效果。</w:t>
      </w:r>
    </w:p>
    <w:p>
      <w:pPr>
        <w:spacing w:line="600" w:lineRule="exact"/>
        <w:rPr>
          <w:rFonts w:ascii="仿宋" w:hAnsi="仿宋" w:eastAsia="仿宋"/>
          <w:sz w:val="28"/>
          <w:szCs w:val="28"/>
        </w:rPr>
      </w:pPr>
    </w:p>
    <w:p>
      <w:pPr>
        <w:spacing w:line="600" w:lineRule="exact"/>
        <w:rPr>
          <w:rFonts w:ascii="仿宋" w:hAnsi="仿宋" w:eastAsia="仿宋"/>
          <w:sz w:val="28"/>
          <w:szCs w:val="28"/>
        </w:rPr>
      </w:pPr>
      <w:r>
        <w:rPr>
          <w:rFonts w:hint="eastAsia" w:ascii="仿宋" w:hAnsi="仿宋" w:eastAsia="仿宋"/>
          <w:b/>
          <w:bCs/>
          <w:sz w:val="28"/>
          <w:szCs w:val="28"/>
        </w:rPr>
        <w:t>典型意义</w:t>
      </w:r>
      <w:r>
        <w:rPr>
          <w:rFonts w:hint="eastAsia" w:ascii="仿宋" w:hAnsi="仿宋" w:eastAsia="仿宋"/>
          <w:sz w:val="28"/>
          <w:szCs w:val="28"/>
        </w:rPr>
        <w:t>：</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本案从实际出发，充分考虑借款人逾期原因、主观意愿、经济状况等因素，从公平价值取向和效率价值取向综合衡量，认为双方合同仍有继续履行的基础，故采取调解的方式，促成当事人继续履行合同，以实现双方当事人利益最大化。</w:t>
      </w:r>
    </w:p>
    <w:p>
      <w:pPr>
        <w:spacing w:line="600" w:lineRule="exact"/>
        <w:rPr>
          <w:rFonts w:hint="eastAsia" w:ascii="仿宋" w:hAnsi="仿宋" w:eastAsia="仿宋"/>
          <w:sz w:val="28"/>
          <w:szCs w:val="28"/>
        </w:rPr>
      </w:pPr>
    </w:p>
    <w:p>
      <w:pPr>
        <w:spacing w:line="600" w:lineRule="exact"/>
        <w:rPr>
          <w:rFonts w:hint="eastAsia" w:ascii="仿宋" w:hAnsi="仿宋" w:eastAsia="仿宋"/>
          <w:b/>
          <w:bCs/>
          <w:sz w:val="28"/>
          <w:szCs w:val="28"/>
        </w:rPr>
      </w:pPr>
      <w:r>
        <w:rPr>
          <w:rFonts w:hint="eastAsia" w:ascii="仿宋" w:hAnsi="仿宋" w:eastAsia="仿宋"/>
          <w:b/>
          <w:bCs/>
          <w:sz w:val="28"/>
          <w:szCs w:val="28"/>
        </w:rPr>
        <w:t>专家点评：</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提前收贷条款是金融借款合同中的常用条款，发生合同约定的违约情形时，金融机构主张提前收贷普遍会得到法院支持，其依据主要是双方对此有明确的约定，但是会对借款人产生十分不利的影响。本案调解兼顾原被告双方共同经济利益与金融运行效率，体现了公正司法、司法为民的基本理念。第一，利益最大化是本案调解的切入点，从保障当事人利益的角度，说服被告尽快偿还逾期部分的</w:t>
      </w:r>
      <w:r>
        <w:rPr>
          <w:rFonts w:ascii="仿宋" w:hAnsi="仿宋" w:eastAsia="仿宋"/>
          <w:sz w:val="28"/>
          <w:szCs w:val="28"/>
          <w:lang w:val="en"/>
        </w:rPr>
        <w:t>借款</w:t>
      </w:r>
      <w:r>
        <w:rPr>
          <w:rFonts w:hint="eastAsia" w:ascii="仿宋" w:hAnsi="仿宋" w:eastAsia="仿宋"/>
          <w:sz w:val="28"/>
          <w:szCs w:val="28"/>
        </w:rPr>
        <w:t xml:space="preserve">本息，原告适当减免实现债权的费用，原合同继续履行。第二，在调解过程中，调解员积极寻找双方博弈的均衡点，向原告说明借款人的逾期原因、主观意愿、经济状况等方面，兼顾人道、公平与效率，最终实现了纠纷的妥善解决，为疫情影响下的经济恢复与社会稳定提供了司法支撑，具有良好的社会效果。 </w:t>
      </w:r>
    </w:p>
    <w:p>
      <w:pPr>
        <w:spacing w:line="600" w:lineRule="exact"/>
        <w:jc w:val="center"/>
        <w:rPr>
          <w:rFonts w:hint="eastAsia" w:ascii="仿宋" w:hAnsi="仿宋" w:eastAsia="仿宋"/>
          <w:b/>
          <w:bCs/>
          <w:sz w:val="28"/>
          <w:szCs w:val="28"/>
        </w:rPr>
      </w:pPr>
    </w:p>
    <w:p>
      <w:pPr>
        <w:rPr>
          <w:rFonts w:hint="eastAsia" w:ascii="华文楷体" w:hAnsi="华文楷体" w:eastAsia="华文楷体" w:cs="华文楷体"/>
          <w:sz w:val="28"/>
          <w:szCs w:val="36"/>
        </w:rPr>
      </w:pPr>
      <w:bookmarkStart w:id="1" w:name="_Hlk150761303"/>
      <w:r>
        <w:rPr>
          <w:rFonts w:hint="eastAsia" w:ascii="华文楷体" w:hAnsi="华文楷体" w:eastAsia="华文楷体" w:cs="华文楷体"/>
          <w:sz w:val="28"/>
          <w:szCs w:val="36"/>
        </w:rPr>
        <w:t>案例作者：长宁区人民法院立案庭审判员朱浩然、法官助理李浩浩</w:t>
      </w:r>
    </w:p>
    <w:bookmarkEnd w:id="1"/>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p>
    <w:p>
      <w:pPr>
        <w:spacing w:line="360" w:lineRule="auto"/>
        <w:rPr>
          <w:rFonts w:hint="eastAsia" w:ascii="黑体" w:hAnsi="黑体" w:eastAsia="黑体" w:cs="宋体"/>
          <w:sz w:val="28"/>
          <w:szCs w:val="28"/>
        </w:rPr>
      </w:pPr>
      <w:r>
        <w:rPr>
          <w:rFonts w:hint="eastAsia" w:ascii="黑体" w:hAnsi="黑体" w:eastAsia="黑体" w:cs="宋体"/>
          <w:sz w:val="28"/>
          <w:szCs w:val="28"/>
        </w:rPr>
        <w:t>【案例</w:t>
      </w:r>
      <w:r>
        <w:rPr>
          <w:rFonts w:ascii="黑体" w:hAnsi="黑体" w:eastAsia="黑体" w:cs="宋体"/>
          <w:sz w:val="28"/>
          <w:szCs w:val="28"/>
        </w:rPr>
        <w:t>2</w:t>
      </w:r>
      <w:r>
        <w:rPr>
          <w:rFonts w:hint="eastAsia" w:ascii="黑体" w:hAnsi="黑体" w:eastAsia="黑体" w:cs="宋体"/>
          <w:sz w:val="28"/>
          <w:szCs w:val="28"/>
        </w:rPr>
        <w:t>】</w:t>
      </w:r>
    </w:p>
    <w:p>
      <w:pPr>
        <w:spacing w:line="360" w:lineRule="auto"/>
        <w:rPr>
          <w:rFonts w:hint="eastAsia" w:ascii="宋体" w:hAnsi="宋体" w:cs="宋体"/>
        </w:rPr>
      </w:pPr>
    </w:p>
    <w:p>
      <w:pPr>
        <w:spacing w:line="360" w:lineRule="auto"/>
        <w:jc w:val="center"/>
        <w:outlineLvl w:val="0"/>
        <w:rPr>
          <w:rFonts w:hint="eastAsia" w:ascii="华文中宋" w:hAnsi="华文中宋" w:eastAsia="华文中宋" w:cs="宋体"/>
          <w:sz w:val="32"/>
          <w:szCs w:val="32"/>
        </w:rPr>
      </w:pPr>
      <w:bookmarkStart w:id="2" w:name="_Toc14142"/>
      <w:r>
        <w:rPr>
          <w:rFonts w:hint="eastAsia" w:ascii="华文中宋" w:hAnsi="华文中宋" w:eastAsia="华文中宋" w:cs="宋体"/>
          <w:sz w:val="32"/>
          <w:szCs w:val="32"/>
        </w:rPr>
        <w:t>以专业化前置调解化解互联网知识产权纠纷</w:t>
      </w:r>
      <w:bookmarkEnd w:id="2"/>
    </w:p>
    <w:p>
      <w:pPr>
        <w:spacing w:line="360" w:lineRule="auto"/>
        <w:jc w:val="center"/>
        <w:outlineLvl w:val="0"/>
        <w:rPr>
          <w:rFonts w:hint="eastAsia" w:ascii="宋体" w:hAnsi="宋体" w:cs="宋体"/>
          <w:sz w:val="32"/>
          <w:szCs w:val="32"/>
        </w:rPr>
      </w:pPr>
      <w:bookmarkStart w:id="3" w:name="_Toc11149"/>
      <w:r>
        <w:rPr>
          <w:rFonts w:hint="eastAsia" w:ascii="宋体" w:hAnsi="宋体" w:cs="宋体"/>
          <w:sz w:val="32"/>
          <w:szCs w:val="32"/>
        </w:rPr>
        <w:t>——某出版社诉某信息技术公司、某图书店等著作权侵权纠纷系列案</w:t>
      </w:r>
      <w:bookmarkEnd w:id="3"/>
    </w:p>
    <w:p>
      <w:pPr>
        <w:spacing w:line="360" w:lineRule="auto"/>
        <w:rPr>
          <w:rFonts w:hint="eastAsia" w:ascii="仿宋" w:hAnsi="仿宋" w:eastAsia="仿宋" w:cs="宋体"/>
          <w:sz w:val="28"/>
          <w:szCs w:val="28"/>
        </w:rPr>
      </w:pPr>
    </w:p>
    <w:p>
      <w:pPr>
        <w:spacing w:line="360" w:lineRule="auto"/>
        <w:rPr>
          <w:rFonts w:hint="eastAsia" w:ascii="仿宋" w:hAnsi="仿宋" w:eastAsia="仿宋" w:cs="宋体"/>
          <w:b/>
          <w:sz w:val="28"/>
          <w:szCs w:val="28"/>
        </w:rPr>
      </w:pPr>
      <w:r>
        <w:rPr>
          <w:rFonts w:hint="eastAsia" w:ascii="仿宋" w:hAnsi="仿宋" w:eastAsia="仿宋" w:cs="宋体"/>
          <w:b/>
          <w:sz w:val="28"/>
          <w:szCs w:val="28"/>
        </w:rPr>
        <w:t>基本案情：</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原告上海某出版社是</w:t>
      </w:r>
      <w:r>
        <w:rPr>
          <w:rFonts w:hint="eastAsia" w:ascii="仿宋" w:hAnsi="仿宋" w:eastAsia="仿宋" w:cs="宋体"/>
          <w:sz w:val="28"/>
          <w:szCs w:val="28"/>
          <w:lang w:val="en-US" w:eastAsia="zh-CN"/>
        </w:rPr>
        <w:t>某</w:t>
      </w:r>
      <w:r>
        <w:rPr>
          <w:rFonts w:hint="eastAsia" w:ascii="仿宋" w:hAnsi="仿宋" w:eastAsia="仿宋" w:cs="宋体"/>
          <w:sz w:val="28"/>
          <w:szCs w:val="28"/>
        </w:rPr>
        <w:t>畅销图书中文译本的著作权人。经调查发现，被告营口市某图书店等8家书店在未经原告许可、未支付使用费用的情况下在被告上海某信息技术公司运营的电商平台上公开销售上述图书。故原告起诉至法院，请求判决被告停止侵权并赔偿损失，索赔金额80余万元。</w:t>
      </w:r>
    </w:p>
    <w:p>
      <w:pPr>
        <w:spacing w:line="360" w:lineRule="auto"/>
        <w:ind w:firstLine="560" w:firstLineChars="200"/>
        <w:rPr>
          <w:rFonts w:hint="eastAsia" w:ascii="仿宋" w:hAnsi="仿宋" w:eastAsia="仿宋" w:cs="宋体"/>
          <w:sz w:val="28"/>
          <w:szCs w:val="28"/>
        </w:rPr>
      </w:pPr>
    </w:p>
    <w:p>
      <w:pPr>
        <w:spacing w:line="360" w:lineRule="auto"/>
        <w:rPr>
          <w:rFonts w:hint="eastAsia" w:ascii="仿宋" w:hAnsi="仿宋" w:eastAsia="仿宋" w:cs="宋体"/>
          <w:b/>
          <w:sz w:val="28"/>
          <w:szCs w:val="28"/>
        </w:rPr>
      </w:pPr>
      <w:r>
        <w:rPr>
          <w:rFonts w:hint="eastAsia" w:ascii="仿宋" w:hAnsi="仿宋" w:eastAsia="仿宋" w:cs="宋体"/>
          <w:b/>
          <w:sz w:val="28"/>
          <w:szCs w:val="28"/>
        </w:rPr>
        <w:t>主要做法：</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bCs/>
          <w:sz w:val="28"/>
          <w:szCs w:val="28"/>
        </w:rPr>
        <w:t>一是调解前置，推进纠纷诉源治理。</w:t>
      </w:r>
      <w:r>
        <w:rPr>
          <w:rFonts w:hint="eastAsia" w:ascii="仿宋" w:hAnsi="仿宋" w:eastAsia="仿宋" w:cs="宋体"/>
          <w:sz w:val="28"/>
          <w:szCs w:val="28"/>
        </w:rPr>
        <w:t>长宁法院收到案件后，为切实保护权利人利益，及时对接电商平台开展涉案商品的信息披露工作。核实被告身份信息及联系方式后，立即委托具有知识产权调解经验的调解组织先行开展调解工作，在核实基本事实后，及时下架了涉案侵权商品，防止损失扩大。这也是长宁法院在知识产权纠纷管辖调整后的有益尝试——通过深入研判案件特点，将知识产权纠纷纳入前置调解试点范围，与长宁区司法局、多家调解组织建立“三位一体”合作对接机制，通过建立先行披露、提前介入、专业调解“三步协同”的前置调解流程，集中高效处理同类型知识产权案件，推进知产案件诉前化解。</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bCs/>
          <w:sz w:val="28"/>
          <w:szCs w:val="28"/>
        </w:rPr>
        <w:t>二是优化流程，助力调解效率提升。</w:t>
      </w:r>
      <w:r>
        <w:rPr>
          <w:rFonts w:hint="eastAsia" w:ascii="仿宋" w:hAnsi="仿宋" w:eastAsia="仿宋" w:cs="宋体"/>
          <w:sz w:val="28"/>
          <w:szCs w:val="28"/>
        </w:rPr>
        <w:t>依托法院诉讼服务平台，规范调解环节，针对前置调解流程制定规范化告知短信内容，由调解组织通过平台披露信息核实被告身份及联系方式后，通过法院12368短信及时告知被告涉案情况，并附调解员联系方式。此举在增强当事人信任度的同时，反向推进了涉案当事人主动联系调解员进行调解。同时，通过调解环节的积极联络，长宁法院及时完成案件初筛，对于基本事实清楚、被告能够有效联系、双方具备调解意愿的案件，有序分流至知产调解团队先行调解，调解成功的及时出具调解书；对于被告失联、调解难度较大等调解不成的案件，立即交由知产快审团队快速分流、快速排期、快速裁判，实现“分调裁审”无缝对接。</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bCs/>
          <w:sz w:val="28"/>
          <w:szCs w:val="28"/>
        </w:rPr>
        <w:t>三是注重专业，提升纠纷化解质效。</w:t>
      </w:r>
      <w:r>
        <w:rPr>
          <w:rFonts w:hint="eastAsia" w:ascii="仿宋" w:hAnsi="仿宋" w:eastAsia="仿宋" w:cs="宋体"/>
          <w:sz w:val="28"/>
          <w:szCs w:val="28"/>
        </w:rPr>
        <w:t>考虑到该系列案件系著作权侵权案件，专业性较强，且涉案标的较大，因此长宁法院依托专业审判团队，提前明确调解方向，在前置调解阶段就由调解组织对接审判团队，由审理著作权案件的法官直接指导调解。在充分研判案情后，指导法官就案件所涉争议点、法律问题对调解员进行指导，提高调解员沟通效率。本案经调解员与双方的积极沟通，结合先行披露的销售数据和司法裁判实践，合理引导双方形成调解预期，统一赔偿方案。在指导法官确认后，最终通过在线调解的方式顺利完成8起案件的调解工作，调解时长仅15天，调解方案均当庭履行完毕，为后续大量互联网知识产权类纠纷多元化解起到了良好的示范效应。</w:t>
      </w:r>
    </w:p>
    <w:p>
      <w:pPr>
        <w:spacing w:line="360" w:lineRule="auto"/>
        <w:rPr>
          <w:rFonts w:ascii="仿宋" w:hAnsi="仿宋" w:eastAsia="仿宋" w:cs="宋体"/>
          <w:sz w:val="28"/>
          <w:szCs w:val="28"/>
        </w:rPr>
      </w:pPr>
    </w:p>
    <w:p>
      <w:pPr>
        <w:spacing w:line="360" w:lineRule="auto"/>
        <w:rPr>
          <w:rFonts w:ascii="仿宋" w:hAnsi="仿宋" w:eastAsia="仿宋" w:cs="宋体"/>
          <w:b/>
          <w:bCs/>
          <w:sz w:val="28"/>
          <w:szCs w:val="28"/>
        </w:rPr>
      </w:pPr>
      <w:r>
        <w:rPr>
          <w:rFonts w:hint="eastAsia" w:ascii="仿宋" w:hAnsi="仿宋" w:eastAsia="仿宋" w:cs="宋体"/>
          <w:b/>
          <w:bCs/>
          <w:sz w:val="28"/>
          <w:szCs w:val="28"/>
        </w:rPr>
        <w:t>典型意义：</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本系列案通过法院与电商平台及时沟通，建立有效的信息披露机制，准确掌握侵权信息，妥善处理侵权商品，合理引导双方当事人商议赔偿金额，有效提升了知识产权纠纷化解效率，逐步形成涉互联网知识产权纠纷“一站式”多元解纷机制，为知识产权保护提供更高效便捷的司法服务。</w:t>
      </w:r>
    </w:p>
    <w:p>
      <w:pPr>
        <w:spacing w:line="360" w:lineRule="auto"/>
        <w:ind w:firstLine="560" w:firstLineChars="200"/>
        <w:rPr>
          <w:rFonts w:hint="eastAsia" w:ascii="仿宋" w:hAnsi="仿宋" w:eastAsia="仿宋" w:cs="宋体"/>
          <w:sz w:val="28"/>
          <w:szCs w:val="28"/>
        </w:rPr>
      </w:pPr>
    </w:p>
    <w:p>
      <w:pPr>
        <w:spacing w:line="360" w:lineRule="auto"/>
        <w:rPr>
          <w:rFonts w:hint="eastAsia" w:ascii="仿宋" w:hAnsi="仿宋" w:eastAsia="仿宋" w:cs="宋体"/>
          <w:b/>
          <w:sz w:val="28"/>
          <w:szCs w:val="28"/>
        </w:rPr>
      </w:pPr>
      <w:r>
        <w:rPr>
          <w:rFonts w:hint="eastAsia" w:ascii="仿宋" w:hAnsi="仿宋" w:eastAsia="仿宋" w:cs="宋体"/>
          <w:b/>
          <w:sz w:val="28"/>
          <w:szCs w:val="28"/>
        </w:rPr>
        <w:t>专家点评：</w:t>
      </w:r>
    </w:p>
    <w:p>
      <w:pPr>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随着中国社会的日益复杂化，出现了大量的新型纠纷（如知识产权纠纷），亟需由掌握这类纠纷特点、相关法律法规和各种调解技巧的调解员进行调解。一是构建制度推进新型纠纷的诉前调解。通过建立先行披露、提前介入、专业调解“三步协同”的前置调解流程，集中高效处理同类型知识产权案件，推进知产案件诉前化解。二是调审合作。一方面，调解环节分担了案件初筛和部分案件的调解工作，另一方面，由审理著作权案件的法官直接指导调解，提高了调解的专业度并提升了纠纷化解的质效。</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案例作者：长宁区人民法院立案庭审判员赵琛琛、书记员刘汉青</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rPr>
          <w:rFonts w:ascii="黑体" w:hAnsi="黑体" w:eastAsia="黑体" w:cs="Times New Roman"/>
          <w:bCs/>
          <w:sz w:val="32"/>
          <w:szCs w:val="32"/>
          <w14:ligatures w14:val="none"/>
        </w:rPr>
      </w:pPr>
      <w:r>
        <w:rPr>
          <w:rFonts w:hint="eastAsia" w:ascii="黑体" w:hAnsi="黑体" w:eastAsia="黑体" w:cs="Times New Roman"/>
          <w:bCs/>
          <w:sz w:val="32"/>
          <w:szCs w:val="32"/>
          <w14:ligatures w14:val="none"/>
        </w:rPr>
        <w:t>【案例</w:t>
      </w:r>
      <w:r>
        <w:rPr>
          <w:rFonts w:ascii="黑体" w:hAnsi="黑体" w:eastAsia="黑体" w:cs="Times New Roman"/>
          <w:bCs/>
          <w:sz w:val="32"/>
          <w:szCs w:val="32"/>
          <w14:ligatures w14:val="none"/>
        </w:rPr>
        <w:t>3</w:t>
      </w:r>
      <w:r>
        <w:rPr>
          <w:rFonts w:hint="eastAsia" w:ascii="黑体" w:hAnsi="黑体" w:eastAsia="黑体" w:cs="Times New Roman"/>
          <w:bCs/>
          <w:sz w:val="32"/>
          <w:szCs w:val="32"/>
          <w14:ligatures w14:val="none"/>
        </w:rPr>
        <w:t>】</w:t>
      </w:r>
    </w:p>
    <w:p>
      <w:pPr>
        <w:jc w:val="center"/>
        <w:rPr>
          <w:rFonts w:ascii="仿宋" w:hAnsi="仿宋" w:eastAsia="仿宋" w:cs="Times New Roman"/>
          <w:b/>
          <w:bCs/>
          <w:sz w:val="32"/>
          <w:szCs w:val="32"/>
          <w14:ligatures w14:val="none"/>
        </w:rPr>
      </w:pPr>
    </w:p>
    <w:p>
      <w:pPr>
        <w:jc w:val="center"/>
        <w:rPr>
          <w:rFonts w:ascii="华文中宋" w:hAnsi="华文中宋" w:eastAsia="华文中宋" w:cs="Times New Roman"/>
          <w:bCs/>
          <w:sz w:val="32"/>
          <w:szCs w:val="32"/>
          <w:lang w:eastAsia="zh-Hans"/>
          <w14:ligatures w14:val="none"/>
        </w:rPr>
      </w:pPr>
      <w:r>
        <w:rPr>
          <w:rFonts w:hint="eastAsia" w:ascii="华文中宋" w:hAnsi="华文中宋" w:eastAsia="华文中宋" w:cs="Times New Roman"/>
          <w:bCs/>
          <w:sz w:val="32"/>
          <w:szCs w:val="32"/>
          <w14:ligatures w14:val="none"/>
        </w:rPr>
        <w:t>示范</w:t>
      </w:r>
      <w:r>
        <w:rPr>
          <w:rFonts w:hint="eastAsia" w:ascii="华文中宋" w:hAnsi="华文中宋" w:eastAsia="华文中宋" w:cs="Times New Roman"/>
          <w:bCs/>
          <w:sz w:val="32"/>
          <w:szCs w:val="32"/>
          <w:lang w:eastAsia="zh-Hans"/>
          <w14:ligatures w14:val="none"/>
        </w:rPr>
        <w:t>调解化解</w:t>
      </w:r>
      <w:r>
        <w:rPr>
          <w:rFonts w:ascii="华文中宋" w:hAnsi="华文中宋" w:eastAsia="华文中宋" w:cs="Times New Roman"/>
          <w:bCs/>
          <w:sz w:val="32"/>
          <w:szCs w:val="32"/>
          <w14:ligatures w14:val="none"/>
        </w:rPr>
        <w:t xml:space="preserve">30余案 </w:t>
      </w:r>
      <w:r>
        <w:rPr>
          <w:rFonts w:hint="eastAsia" w:ascii="华文中宋" w:hAnsi="华文中宋" w:eastAsia="华文中宋" w:cs="Times New Roman"/>
          <w:bCs/>
          <w:sz w:val="32"/>
          <w:szCs w:val="32"/>
          <w:lang w:eastAsia="zh-Hans"/>
          <w14:ligatures w14:val="none"/>
        </w:rPr>
        <w:t>聚焦源头推进平台善治</w:t>
      </w:r>
    </w:p>
    <w:p>
      <w:pPr>
        <w:jc w:val="center"/>
        <w:outlineLvl w:val="0"/>
        <w:rPr>
          <w:rFonts w:cs="仿宋_GB2312" w:asciiTheme="majorEastAsia" w:hAnsiTheme="majorEastAsia" w:eastAsiaTheme="majorEastAsia"/>
          <w:bCs/>
          <w:sz w:val="32"/>
          <w:szCs w:val="32"/>
          <w:lang w:eastAsia="zh-Hans"/>
          <w14:ligatures w14:val="none"/>
        </w:rPr>
      </w:pPr>
      <w:bookmarkStart w:id="4" w:name="_Toc17142"/>
      <w:r>
        <w:rPr>
          <w:rFonts w:hint="eastAsia" w:cs="Times New Roman" w:asciiTheme="majorEastAsia" w:hAnsiTheme="majorEastAsia" w:eastAsiaTheme="majorEastAsia"/>
          <w:bCs/>
          <w:sz w:val="32"/>
          <w:szCs w:val="32"/>
          <w:lang w:eastAsia="zh-Hans"/>
          <w14:ligatures w14:val="none"/>
        </w:rPr>
        <w:t>——平台直播治理衍生纠纷系列案</w:t>
      </w:r>
      <w:bookmarkEnd w:id="4"/>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基本案情：</w:t>
      </w:r>
    </w:p>
    <w:p>
      <w:pPr>
        <w:ind w:firstLine="560" w:firstLineChars="200"/>
        <w:rPr>
          <w:rFonts w:ascii="仿宋" w:hAnsi="仿宋" w:eastAsia="仿宋"/>
          <w:bCs/>
          <w:sz w:val="28"/>
          <w:szCs w:val="28"/>
        </w:rPr>
      </w:pPr>
      <w:r>
        <w:rPr>
          <w:rFonts w:hint="eastAsia" w:ascii="仿宋" w:hAnsi="仿宋" w:eastAsia="仿宋"/>
          <w:sz w:val="28"/>
          <w:szCs w:val="28"/>
        </w:rPr>
        <w:t>2</w:t>
      </w:r>
      <w:r>
        <w:rPr>
          <w:rFonts w:ascii="仿宋" w:hAnsi="仿宋" w:eastAsia="仿宋"/>
          <w:sz w:val="28"/>
          <w:szCs w:val="28"/>
        </w:rPr>
        <w:t>022</w:t>
      </w:r>
      <w:r>
        <w:rPr>
          <w:rFonts w:hint="eastAsia" w:ascii="仿宋" w:hAnsi="仿宋" w:eastAsia="仿宋"/>
          <w:sz w:val="28"/>
          <w:szCs w:val="28"/>
        </w:rPr>
        <w:t>年1</w:t>
      </w:r>
      <w:r>
        <w:rPr>
          <w:rFonts w:ascii="仿宋" w:hAnsi="仿宋" w:eastAsia="仿宋"/>
          <w:sz w:val="28"/>
          <w:szCs w:val="28"/>
        </w:rPr>
        <w:t>0</w:t>
      </w:r>
      <w:r>
        <w:rPr>
          <w:rFonts w:hint="eastAsia" w:ascii="仿宋" w:hAnsi="仿宋" w:eastAsia="仿宋"/>
          <w:sz w:val="28"/>
          <w:szCs w:val="28"/>
        </w:rPr>
        <w:t>月，长宁法院集中受理了3</w:t>
      </w:r>
      <w:r>
        <w:rPr>
          <w:rFonts w:ascii="仿宋" w:hAnsi="仿宋" w:eastAsia="仿宋"/>
          <w:sz w:val="28"/>
          <w:szCs w:val="28"/>
        </w:rPr>
        <w:t>0</w:t>
      </w:r>
      <w:r>
        <w:rPr>
          <w:rFonts w:hint="eastAsia" w:ascii="仿宋" w:hAnsi="仿宋" w:eastAsia="仿宋"/>
          <w:sz w:val="28"/>
          <w:szCs w:val="28"/>
        </w:rPr>
        <w:t>余起珠宝直播电商维权纠纷，</w:t>
      </w:r>
      <w:r>
        <w:rPr>
          <w:rFonts w:hint="eastAsia" w:ascii="仿宋" w:hAnsi="仿宋" w:eastAsia="仿宋"/>
          <w:sz w:val="28"/>
          <w:szCs w:val="28"/>
          <w:lang w:eastAsia="zh-Hans"/>
        </w:rPr>
        <w:t>纠纷起因主要是</w:t>
      </w:r>
      <w:r>
        <w:rPr>
          <w:rFonts w:hint="eastAsia" w:ascii="仿宋" w:hAnsi="仿宋" w:eastAsia="仿宋"/>
          <w:sz w:val="28"/>
          <w:szCs w:val="28"/>
        </w:rPr>
        <w:t>部分平台商家在直播间销售翡翠原石时，存在虚假宣传、诱导交易、欺诈等行为，平台对此类商家集中整治，包括关闭直播权限、下架问题商品、临时性资金限制等，由此导致部分商家</w:t>
      </w:r>
      <w:r>
        <w:rPr>
          <w:rFonts w:hint="eastAsia" w:ascii="仿宋" w:hAnsi="仿宋" w:eastAsia="仿宋"/>
          <w:sz w:val="28"/>
          <w:szCs w:val="28"/>
          <w:lang w:eastAsia="zh-Hans"/>
        </w:rPr>
        <w:t>认为平台处罚过于严厉或缺少依据</w:t>
      </w:r>
      <w:r>
        <w:rPr>
          <w:rFonts w:hint="eastAsia" w:ascii="仿宋" w:hAnsi="仿宋" w:eastAsia="仿宋"/>
          <w:sz w:val="28"/>
          <w:szCs w:val="28"/>
        </w:rPr>
        <w:t>，起诉至法院，要求恢复店铺正常经营等。考虑到后续潜在纠纷不断生成且可能陆续诉至法院，长宁法院积极</w:t>
      </w:r>
      <w:r>
        <w:rPr>
          <w:rFonts w:hint="eastAsia" w:ascii="仿宋" w:hAnsi="仿宋" w:eastAsia="仿宋"/>
          <w:bCs/>
          <w:sz w:val="28"/>
          <w:szCs w:val="28"/>
        </w:rPr>
        <w:t>聚焦源头，推进平台纠纷协同共治。</w:t>
      </w:r>
    </w:p>
    <w:p>
      <w:pPr>
        <w:ind w:firstLine="562" w:firstLineChars="200"/>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主要做法：</w:t>
      </w:r>
    </w:p>
    <w:p>
      <w:pPr>
        <w:ind w:firstLine="560" w:firstLineChars="200"/>
        <w:rPr>
          <w:rFonts w:ascii="仿宋" w:hAnsi="仿宋" w:eastAsia="仿宋"/>
          <w:b/>
          <w:bCs/>
          <w:sz w:val="28"/>
          <w:szCs w:val="28"/>
        </w:rPr>
      </w:pPr>
      <w:r>
        <w:rPr>
          <w:rFonts w:hint="eastAsia" w:ascii="仿宋" w:hAnsi="仿宋" w:eastAsia="仿宋"/>
          <w:bCs/>
          <w:sz w:val="28"/>
          <w:szCs w:val="28"/>
        </w:rPr>
        <w:t>一、调研先行清底数。</w:t>
      </w:r>
      <w:r>
        <w:rPr>
          <w:rFonts w:hint="eastAsia" w:ascii="仿宋" w:hAnsi="仿宋" w:eastAsia="仿宋"/>
          <w:sz w:val="28"/>
          <w:szCs w:val="28"/>
        </w:rPr>
        <w:t>第一时间向涉案平台和相关单位了解情况，深入研判珠宝电商维权纠纷以及相关的珠宝直播购物纠纷的发展态势。同时要求平台向法院提供集中治理所涉店铺概况、商家对治理行动的反馈意见，以及对潜在纠纷数量的评估意见。</w:t>
      </w:r>
    </w:p>
    <w:p>
      <w:pPr>
        <w:ind w:firstLine="560" w:firstLineChars="200"/>
        <w:rPr>
          <w:rFonts w:ascii="仿宋" w:hAnsi="仿宋" w:eastAsia="仿宋"/>
          <w:b/>
          <w:bCs/>
          <w:sz w:val="28"/>
          <w:szCs w:val="28"/>
        </w:rPr>
      </w:pPr>
      <w:r>
        <w:rPr>
          <w:rFonts w:hint="eastAsia" w:ascii="仿宋" w:hAnsi="仿宋" w:eastAsia="仿宋"/>
          <w:bCs/>
          <w:sz w:val="28"/>
          <w:szCs w:val="28"/>
        </w:rPr>
        <w:t>二、以点带面减存量。</w:t>
      </w:r>
      <w:r>
        <w:rPr>
          <w:rFonts w:hint="eastAsia" w:ascii="仿宋" w:hAnsi="仿宋" w:eastAsia="仿宋"/>
          <w:sz w:val="28"/>
          <w:szCs w:val="28"/>
        </w:rPr>
        <w:t>通过调研，法院认为平台治理行动在规范直播交易秩序中的积极作用应当得到肯定，但治理措施在具体实施中可能出现误伤或者罚不当过。为防止潜在纠纷继续发酵并最终全部流入诉讼领域，在已经受理案件中选取典型个案，对当事双方充分释法说理，并在法院主持下达成和解，形成示范案例；在此基础上，梳理该批案件的常见问题及拟处理意见，进一步明晰类案裁判规则，对涉诉双方产生引导和示范效应，带动已经立案的</w:t>
      </w:r>
      <w:r>
        <w:rPr>
          <w:rFonts w:ascii="仿宋" w:hAnsi="仿宋" w:eastAsia="仿宋"/>
          <w:sz w:val="28"/>
          <w:szCs w:val="28"/>
        </w:rPr>
        <w:t>30余起案件顺利化解结案，成功实现“减存量”目标。</w:t>
      </w:r>
    </w:p>
    <w:p>
      <w:pPr>
        <w:ind w:firstLine="560" w:firstLineChars="200"/>
        <w:rPr>
          <w:rFonts w:ascii="仿宋" w:hAnsi="仿宋" w:eastAsia="仿宋"/>
          <w:b/>
          <w:bCs/>
          <w:sz w:val="28"/>
          <w:szCs w:val="28"/>
        </w:rPr>
      </w:pPr>
      <w:r>
        <w:rPr>
          <w:rFonts w:hint="eastAsia" w:ascii="仿宋" w:hAnsi="仿宋" w:eastAsia="仿宋"/>
          <w:bCs/>
          <w:sz w:val="28"/>
          <w:szCs w:val="28"/>
        </w:rPr>
        <w:t>三、关口前移控增量。</w:t>
      </w:r>
      <w:r>
        <w:rPr>
          <w:rFonts w:hint="eastAsia" w:ascii="仿宋" w:hAnsi="仿宋" w:eastAsia="仿宋"/>
          <w:sz w:val="28"/>
          <w:szCs w:val="28"/>
        </w:rPr>
        <w:t>依据在前期案件审理中发现的治理措施相关问题，主动向涉案电商平台提出建议，敦促其完善规则规范监管，防止衍生新的纠纷；同时要求平台排摸潜在纠纷所涉商家，参照在先案件处理思路，与商家主动对接、积极沟通，把矛盾化解在平台内。经平台提前介入、积极处置，一大批已经做好准备打官司的商家接受了和解方案，部分商家在和解后第一时间恢复了合法规范的直播经营，成功实现诉讼纠纷“控增量”目标。部分商家希望在法院主持下固定和解方案，则采用集中受理</w:t>
      </w:r>
      <w:r>
        <w:rPr>
          <w:rFonts w:ascii="仿宋" w:hAnsi="仿宋" w:eastAsia="仿宋"/>
          <w:sz w:val="28"/>
          <w:szCs w:val="28"/>
        </w:rPr>
        <w:t>+批量快审的方式处理，近80个商家与平台达成和解方案后撤诉，真正做到案结事了。</w:t>
      </w:r>
    </w:p>
    <w:p>
      <w:pPr>
        <w:ind w:firstLine="560" w:firstLineChars="200"/>
        <w:rPr>
          <w:rFonts w:ascii="仿宋" w:hAnsi="仿宋" w:eastAsia="仿宋"/>
          <w:sz w:val="28"/>
          <w:szCs w:val="28"/>
        </w:rPr>
      </w:pPr>
      <w:r>
        <w:rPr>
          <w:rFonts w:hint="eastAsia" w:ascii="仿宋" w:hAnsi="仿宋" w:eastAsia="仿宋"/>
          <w:bCs/>
          <w:sz w:val="28"/>
          <w:szCs w:val="28"/>
        </w:rPr>
        <w:t>四、延伸链条治未病。</w:t>
      </w:r>
      <w:r>
        <w:rPr>
          <w:rFonts w:hint="eastAsia" w:ascii="仿宋" w:hAnsi="仿宋" w:eastAsia="仿宋"/>
          <w:sz w:val="28"/>
          <w:szCs w:val="28"/>
        </w:rPr>
        <w:t>将案件审理和诉源治理相结合，通过直播治理纠纷类案审理，积极推动电商平台将治理逻辑从事后响应向前延伸至事前和事中环节预处理。一方面，建议平台构建双向监管模型，改变以往仅对潜在问题商家进行治理的单向模式，加强“消费端教育”，尤其增加对重点消费群体的定向直播风险提示以及同类交易的风险提示，进行“个性化推送”。另一方面，督促平台数字赋能精准治理。利用大数据及算法治理，更准确识别潜在交易风险及违规行为，避免误判。在治理措施上“因店施策”，区分不同风险等级及违规类型给予符合比例原则的监管，避免畸轻畸重引发商家不满。在治理对象上“分级处遇”，对潜在风险高发店铺加强监控及主动干预，在必要时迅速介入采取处置措施。</w:t>
      </w:r>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典型意义:</w:t>
      </w:r>
    </w:p>
    <w:p>
      <w:pPr>
        <w:ind w:left="210" w:leftChars="100" w:firstLine="560" w:firstLineChars="200"/>
        <w:rPr>
          <w:rFonts w:ascii="仿宋" w:hAnsi="仿宋" w:eastAsia="仿宋"/>
          <w:sz w:val="28"/>
          <w:szCs w:val="28"/>
        </w:rPr>
      </w:pPr>
      <w:r>
        <w:rPr>
          <w:rFonts w:ascii="仿宋" w:hAnsi="仿宋" w:eastAsia="仿宋"/>
          <w:sz w:val="28"/>
          <w:szCs w:val="28"/>
        </w:rPr>
        <w:t>“问题直播”引发纠纷，“直播治理”又成为新的纠纷源头</w:t>
      </w:r>
      <w:r>
        <w:rPr>
          <w:rFonts w:hint="eastAsia" w:ascii="仿宋" w:hAnsi="仿宋" w:eastAsia="仿宋"/>
          <w:sz w:val="28"/>
          <w:szCs w:val="28"/>
        </w:rPr>
        <w:t>。在该批案件的处理中，既依法肯定相关案件中平台治理行为的必要性及正面效果，亦对部分案件中平台超出必要或合理范围的治理措施及时指出，敦促平台及时予以纠正，同时对于本批案件审理及化解过程中的问题及经验，及时梳理汇总后集中向平台反馈，推动平台积极参与诉源治理，构建商家及消费者双向治理模式，合力规范珠宝玉石</w:t>
      </w:r>
      <w:r>
        <w:rPr>
          <w:rFonts w:hint="eastAsia" w:ascii="仿宋" w:hAnsi="仿宋" w:eastAsia="仿宋"/>
          <w:sz w:val="28"/>
          <w:szCs w:val="28"/>
          <w:lang w:eastAsia="zh-Hans"/>
        </w:rPr>
        <w:t>直播</w:t>
      </w:r>
      <w:r>
        <w:rPr>
          <w:rFonts w:hint="eastAsia" w:ascii="仿宋" w:hAnsi="仿宋" w:eastAsia="仿宋"/>
          <w:sz w:val="28"/>
          <w:szCs w:val="28"/>
        </w:rPr>
        <w:t>交易秩序。</w:t>
      </w:r>
    </w:p>
    <w:p>
      <w:pPr>
        <w:rPr>
          <w:rFonts w:ascii="仿宋" w:hAnsi="仿宋" w:eastAsia="仿宋"/>
          <w:b/>
          <w:bCs/>
          <w:sz w:val="28"/>
          <w:szCs w:val="28"/>
        </w:rPr>
      </w:pPr>
    </w:p>
    <w:p>
      <w:pPr>
        <w:rPr>
          <w:rFonts w:ascii="仿宋" w:hAnsi="仿宋" w:eastAsia="仿宋"/>
          <w:b/>
          <w:bCs/>
          <w:sz w:val="28"/>
          <w:szCs w:val="28"/>
        </w:rPr>
      </w:pPr>
      <w:r>
        <w:rPr>
          <w:rFonts w:hint="eastAsia" w:ascii="仿宋" w:hAnsi="仿宋" w:eastAsia="仿宋"/>
          <w:b/>
          <w:bCs/>
          <w:sz w:val="28"/>
          <w:szCs w:val="28"/>
        </w:rPr>
        <w:t>专家点评：</w:t>
      </w:r>
    </w:p>
    <w:p>
      <w:pPr>
        <w:ind w:firstLine="560" w:firstLineChars="200"/>
        <w:rPr>
          <w:rFonts w:ascii="仿宋" w:hAnsi="仿宋" w:eastAsia="仿宋"/>
          <w:b/>
          <w:bCs/>
          <w:sz w:val="28"/>
          <w:szCs w:val="28"/>
        </w:rPr>
      </w:pPr>
      <w:r>
        <w:rPr>
          <w:rFonts w:hint="eastAsia" w:ascii="仿宋" w:hAnsi="仿宋" w:eastAsia="仿宋"/>
          <w:sz w:val="28"/>
          <w:szCs w:val="28"/>
        </w:rPr>
        <w:t>矛盾环环相扣，对</w:t>
      </w:r>
      <w:r>
        <w:rPr>
          <w:rFonts w:ascii="仿宋" w:hAnsi="仿宋" w:eastAsia="仿宋"/>
          <w:sz w:val="28"/>
          <w:szCs w:val="28"/>
        </w:rPr>
        <w:t>“问题直播”</w:t>
      </w:r>
      <w:r>
        <w:rPr>
          <w:rFonts w:hint="eastAsia" w:ascii="仿宋" w:hAnsi="仿宋" w:eastAsia="仿宋"/>
          <w:sz w:val="28"/>
          <w:szCs w:val="28"/>
        </w:rPr>
        <w:t>的处理又引起新的纠纷。该批案件的处理是长宁法院</w:t>
      </w:r>
      <w:r>
        <w:rPr>
          <w:rFonts w:ascii="仿宋" w:hAnsi="仿宋" w:eastAsia="仿宋"/>
          <w:sz w:val="28"/>
          <w:szCs w:val="28"/>
        </w:rPr>
        <w:t>针对新生业态关联纠纷做好系统性诉源治理</w:t>
      </w:r>
      <w:r>
        <w:rPr>
          <w:rFonts w:hint="eastAsia" w:ascii="仿宋" w:hAnsi="仿宋" w:eastAsia="仿宋"/>
          <w:sz w:val="28"/>
          <w:szCs w:val="28"/>
        </w:rPr>
        <w:t>的新尝试</w:t>
      </w:r>
      <w:r>
        <w:rPr>
          <w:rFonts w:ascii="仿宋" w:hAnsi="仿宋" w:eastAsia="仿宋"/>
          <w:sz w:val="28"/>
          <w:szCs w:val="28"/>
        </w:rPr>
        <w:t>。</w:t>
      </w:r>
      <w:r>
        <w:rPr>
          <w:rFonts w:hint="eastAsia" w:ascii="仿宋" w:hAnsi="仿宋" w:eastAsia="仿宋"/>
          <w:sz w:val="28"/>
          <w:szCs w:val="28"/>
        </w:rPr>
        <w:t>第一，明晰类案裁判规则，对涉诉双方产生引导和示范效应。第二，帮助平台提升治理能力。法院主动向平台提出建议，敦促其完善规则规范监管。第三，面对汹涌的平台经济大潮，只有进行源头治理，既包括加强对潜在问题商家的监管，也包括对重点消费群体的风险提示，才能真正遏制平台纠纷的大量增长。</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案例作者：长宁区人民法院立案庭审判员 周泉泉</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p>
    <w:p>
      <w:pPr>
        <w:rPr>
          <w:rFonts w:ascii="仿宋" w:hAnsi="仿宋" w:eastAsia="仿宋"/>
          <w:sz w:val="28"/>
          <w:szCs w:val="28"/>
        </w:rPr>
      </w:pPr>
      <w:r>
        <w:rPr>
          <w:rFonts w:ascii="仿宋" w:hAnsi="仿宋" w:eastAsia="仿宋"/>
          <w:sz w:val="28"/>
          <w:szCs w:val="28"/>
        </w:rPr>
        <w:br w:type="page"/>
      </w:r>
    </w:p>
    <w:p>
      <w:pPr>
        <w:rPr>
          <w:rFonts w:ascii="黑体" w:hAnsi="黑体" w:eastAsia="黑体" w:cs="Times New Roman"/>
          <w:bCs/>
          <w:sz w:val="28"/>
          <w:szCs w:val="28"/>
          <w14:ligatures w14:val="none"/>
        </w:rPr>
      </w:pPr>
      <w:r>
        <w:rPr>
          <w:rFonts w:hint="eastAsia" w:ascii="黑体" w:hAnsi="黑体" w:eastAsia="黑体" w:cs="Times New Roman"/>
          <w:bCs/>
          <w:sz w:val="28"/>
          <w:szCs w:val="28"/>
          <w14:ligatures w14:val="none"/>
        </w:rPr>
        <w:t>【案例</w:t>
      </w:r>
      <w:r>
        <w:rPr>
          <w:rFonts w:ascii="黑体" w:hAnsi="黑体" w:eastAsia="黑体" w:cs="Times New Roman"/>
          <w:bCs/>
          <w:sz w:val="28"/>
          <w:szCs w:val="28"/>
          <w14:ligatures w14:val="none"/>
        </w:rPr>
        <w:t>4</w:t>
      </w:r>
      <w:r>
        <w:rPr>
          <w:rFonts w:hint="eastAsia" w:ascii="黑体" w:hAnsi="黑体" w:eastAsia="黑体" w:cs="Times New Roman"/>
          <w:bCs/>
          <w:sz w:val="28"/>
          <w:szCs w:val="28"/>
          <w14:ligatures w14:val="none"/>
        </w:rPr>
        <w:t>】</w:t>
      </w:r>
    </w:p>
    <w:p>
      <w:pPr>
        <w:ind w:firstLine="2570" w:firstLineChars="800"/>
        <w:rPr>
          <w:rFonts w:ascii="仿宋" w:hAnsi="仿宋" w:eastAsia="仿宋" w:cs="Times New Roman"/>
          <w:b/>
          <w:bCs/>
          <w:sz w:val="32"/>
          <w:szCs w:val="32"/>
          <w14:ligatures w14:val="none"/>
        </w:rPr>
      </w:pPr>
    </w:p>
    <w:p>
      <w:pPr>
        <w:jc w:val="center"/>
        <w:rPr>
          <w:rFonts w:ascii="华文中宋" w:hAnsi="华文中宋" w:eastAsia="华文中宋" w:cs="Times New Roman"/>
          <w:bCs/>
          <w:sz w:val="32"/>
          <w:szCs w:val="32"/>
          <w:lang w:eastAsia="zh-Hans"/>
          <w14:ligatures w14:val="none"/>
        </w:rPr>
      </w:pPr>
      <w:r>
        <w:rPr>
          <w:rFonts w:hint="eastAsia" w:ascii="华文中宋" w:hAnsi="华文中宋" w:eastAsia="华文中宋" w:cs="Times New Roman"/>
          <w:bCs/>
          <w:sz w:val="32"/>
          <w:szCs w:val="32"/>
          <w:lang w:eastAsia="zh-Hans"/>
          <w14:ligatures w14:val="none"/>
        </w:rPr>
        <w:t>探索关口前移多元</w:t>
      </w:r>
      <w:r>
        <w:rPr>
          <w:rFonts w:hint="eastAsia" w:ascii="华文中宋" w:hAnsi="华文中宋" w:eastAsia="华文中宋" w:cs="Times New Roman"/>
          <w:bCs/>
          <w:sz w:val="32"/>
          <w:szCs w:val="32"/>
          <w14:ligatures w14:val="none"/>
        </w:rPr>
        <w:t xml:space="preserve">化解  </w:t>
      </w:r>
      <w:r>
        <w:rPr>
          <w:rFonts w:hint="eastAsia" w:ascii="华文中宋" w:hAnsi="华文中宋" w:eastAsia="华文中宋" w:cs="Times New Roman"/>
          <w:bCs/>
          <w:sz w:val="32"/>
          <w:szCs w:val="32"/>
          <w:lang w:eastAsia="zh-Hans"/>
          <w14:ligatures w14:val="none"/>
        </w:rPr>
        <w:t>强化平台责任高效解纷</w:t>
      </w:r>
    </w:p>
    <w:p>
      <w:pPr>
        <w:jc w:val="center"/>
        <w:rPr>
          <w:rFonts w:cs="Times New Roman" w:asciiTheme="majorEastAsia" w:hAnsiTheme="majorEastAsia" w:eastAsiaTheme="majorEastAsia"/>
          <w:bCs/>
          <w:sz w:val="32"/>
          <w:szCs w:val="32"/>
          <w:lang w:eastAsia="zh-Hans"/>
          <w14:ligatures w14:val="none"/>
        </w:rPr>
      </w:pPr>
      <w:r>
        <w:rPr>
          <w:rFonts w:hint="eastAsia" w:cs="Times New Roman" w:asciiTheme="majorEastAsia" w:hAnsiTheme="majorEastAsia" w:eastAsiaTheme="majorEastAsia"/>
          <w:bCs/>
          <w:sz w:val="32"/>
          <w:szCs w:val="32"/>
          <w:lang w:eastAsia="zh-Hans"/>
          <w14:ligatures w14:val="none"/>
        </w:rPr>
        <w:t>——电商平台争议在线解决衍生纠纷</w:t>
      </w:r>
      <w:r>
        <w:rPr>
          <w:rFonts w:hint="eastAsia" w:cs="Times New Roman" w:asciiTheme="majorEastAsia" w:hAnsiTheme="majorEastAsia" w:eastAsiaTheme="majorEastAsia"/>
          <w:bCs/>
          <w:sz w:val="32"/>
          <w:szCs w:val="32"/>
          <w14:ligatures w14:val="none"/>
        </w:rPr>
        <w:t>系列</w:t>
      </w:r>
      <w:r>
        <w:rPr>
          <w:rFonts w:hint="eastAsia" w:cs="Times New Roman" w:asciiTheme="majorEastAsia" w:hAnsiTheme="majorEastAsia" w:eastAsiaTheme="majorEastAsia"/>
          <w:bCs/>
          <w:sz w:val="32"/>
          <w:szCs w:val="32"/>
          <w:lang w:eastAsia="zh-Hans"/>
          <w14:ligatures w14:val="none"/>
        </w:rPr>
        <w:t>案</w:t>
      </w:r>
    </w:p>
    <w:p>
      <w:pPr>
        <w:rPr>
          <w:rFonts w:ascii="仿宋" w:hAnsi="仿宋" w:eastAsia="仿宋" w:cs="Times New Roman"/>
          <w:b/>
          <w:bCs/>
          <w:sz w:val="32"/>
          <w:szCs w:val="32"/>
          <w14:ligatures w14:val="none"/>
        </w:rPr>
      </w:pPr>
    </w:p>
    <w:p>
      <w:pPr>
        <w:rPr>
          <w:rFonts w:ascii="仿宋" w:hAnsi="仿宋" w:eastAsia="仿宋"/>
          <w:b/>
          <w:sz w:val="28"/>
          <w:szCs w:val="28"/>
        </w:rPr>
      </w:pPr>
      <w:r>
        <w:rPr>
          <w:rFonts w:hint="eastAsia" w:ascii="仿宋" w:hAnsi="仿宋" w:eastAsia="仿宋"/>
          <w:b/>
          <w:sz w:val="28"/>
          <w:szCs w:val="28"/>
        </w:rPr>
        <w:t>基本案情：</w:t>
      </w:r>
    </w:p>
    <w:p>
      <w:pPr>
        <w:ind w:firstLine="560" w:firstLineChars="200"/>
        <w:rPr>
          <w:rFonts w:ascii="仿宋" w:hAnsi="仿宋" w:eastAsia="仿宋"/>
          <w:sz w:val="28"/>
          <w:szCs w:val="28"/>
        </w:rPr>
      </w:pPr>
      <w:r>
        <w:rPr>
          <w:rFonts w:ascii="仿宋" w:hAnsi="仿宋" w:eastAsia="仿宋"/>
          <w:sz w:val="28"/>
          <w:szCs w:val="28"/>
        </w:rPr>
        <w:t>2023年2月，消费者</w:t>
      </w:r>
      <w:r>
        <w:rPr>
          <w:rFonts w:hint="eastAsia" w:ascii="仿宋" w:hAnsi="仿宋" w:eastAsia="仿宋"/>
          <w:sz w:val="28"/>
          <w:szCs w:val="28"/>
        </w:rPr>
        <w:t>李某</w:t>
      </w:r>
      <w:r>
        <w:rPr>
          <w:rFonts w:ascii="仿宋" w:hAnsi="仿宋" w:eastAsia="仿宋"/>
          <w:sz w:val="28"/>
          <w:szCs w:val="28"/>
        </w:rPr>
        <w:t>在某</w:t>
      </w:r>
      <w:r>
        <w:rPr>
          <w:rFonts w:hint="eastAsia" w:ascii="仿宋" w:hAnsi="仿宋" w:eastAsia="仿宋"/>
          <w:sz w:val="28"/>
          <w:szCs w:val="28"/>
        </w:rPr>
        <w:t>电商平台上</w:t>
      </w:r>
      <w:r>
        <w:rPr>
          <w:rFonts w:ascii="仿宋" w:hAnsi="仿宋" w:eastAsia="仿宋"/>
          <w:sz w:val="28"/>
          <w:szCs w:val="28"/>
        </w:rPr>
        <w:t>商家</w:t>
      </w:r>
      <w:r>
        <w:rPr>
          <w:rFonts w:hint="eastAsia" w:ascii="仿宋" w:hAnsi="仿宋" w:eastAsia="仿宋"/>
          <w:sz w:val="28"/>
          <w:szCs w:val="28"/>
        </w:rPr>
        <w:t>店铺下单</w:t>
      </w:r>
      <w:r>
        <w:rPr>
          <w:rFonts w:ascii="仿宋" w:hAnsi="仿宋" w:eastAsia="仿宋"/>
          <w:sz w:val="28"/>
          <w:szCs w:val="28"/>
        </w:rPr>
        <w:t>后发现</w:t>
      </w:r>
      <w:r>
        <w:rPr>
          <w:rFonts w:hint="eastAsia" w:ascii="仿宋" w:hAnsi="仿宋" w:eastAsia="仿宋"/>
          <w:sz w:val="28"/>
          <w:szCs w:val="28"/>
        </w:rPr>
        <w:t>商品存在质量问题</w:t>
      </w:r>
      <w:r>
        <w:rPr>
          <w:rFonts w:ascii="仿宋" w:hAnsi="仿宋" w:eastAsia="仿宋"/>
          <w:sz w:val="28"/>
          <w:szCs w:val="28"/>
        </w:rPr>
        <w:t>，遂向商家</w:t>
      </w:r>
      <w:r>
        <w:rPr>
          <w:rFonts w:hint="eastAsia" w:ascii="仿宋" w:hAnsi="仿宋" w:eastAsia="仿宋"/>
          <w:sz w:val="28"/>
          <w:szCs w:val="28"/>
        </w:rPr>
        <w:t>发起退货</w:t>
      </w:r>
      <w:r>
        <w:rPr>
          <w:rFonts w:ascii="仿宋" w:hAnsi="仿宋" w:eastAsia="仿宋"/>
          <w:sz w:val="28"/>
          <w:szCs w:val="28"/>
        </w:rPr>
        <w:t>申请，</w:t>
      </w:r>
      <w:r>
        <w:rPr>
          <w:rFonts w:hint="eastAsia" w:ascii="仿宋" w:hAnsi="仿宋" w:eastAsia="仿宋"/>
          <w:sz w:val="28"/>
          <w:szCs w:val="28"/>
        </w:rPr>
        <w:t>被商家拒绝后，消费者申请</w:t>
      </w:r>
      <w:r>
        <w:rPr>
          <w:rFonts w:ascii="仿宋" w:hAnsi="仿宋" w:eastAsia="仿宋"/>
          <w:sz w:val="28"/>
          <w:szCs w:val="28"/>
        </w:rPr>
        <w:t>平台介入</w:t>
      </w:r>
      <w:r>
        <w:rPr>
          <w:rFonts w:hint="eastAsia" w:ascii="仿宋" w:hAnsi="仿宋" w:eastAsia="仿宋"/>
          <w:sz w:val="28"/>
          <w:szCs w:val="28"/>
        </w:rPr>
        <w:t>，平台</w:t>
      </w:r>
      <w:r>
        <w:rPr>
          <w:rFonts w:ascii="仿宋" w:hAnsi="仿宋" w:eastAsia="仿宋"/>
          <w:sz w:val="28"/>
          <w:szCs w:val="28"/>
        </w:rPr>
        <w:t>通过了</w:t>
      </w:r>
      <w:r>
        <w:rPr>
          <w:rFonts w:hint="eastAsia" w:ascii="仿宋" w:hAnsi="仿宋" w:eastAsia="仿宋"/>
          <w:sz w:val="28"/>
          <w:szCs w:val="28"/>
        </w:rPr>
        <w:t>其售后</w:t>
      </w:r>
      <w:r>
        <w:rPr>
          <w:rFonts w:ascii="仿宋" w:hAnsi="仿宋" w:eastAsia="仿宋"/>
          <w:sz w:val="28"/>
          <w:szCs w:val="28"/>
        </w:rPr>
        <w:t>申请。</w:t>
      </w:r>
      <w:r>
        <w:rPr>
          <w:rFonts w:hint="eastAsia" w:ascii="仿宋" w:hAnsi="仿宋" w:eastAsia="仿宋"/>
          <w:sz w:val="28"/>
          <w:szCs w:val="28"/>
        </w:rPr>
        <w:t>后</w:t>
      </w:r>
      <w:r>
        <w:rPr>
          <w:rFonts w:ascii="仿宋" w:hAnsi="仿宋" w:eastAsia="仿宋"/>
          <w:sz w:val="28"/>
          <w:szCs w:val="28"/>
        </w:rPr>
        <w:t>商家不服平台的</w:t>
      </w:r>
      <w:r>
        <w:rPr>
          <w:rFonts w:hint="eastAsia" w:ascii="仿宋" w:hAnsi="仿宋" w:eastAsia="仿宋"/>
          <w:sz w:val="28"/>
          <w:szCs w:val="28"/>
        </w:rPr>
        <w:t>处理结果</w:t>
      </w:r>
      <w:r>
        <w:rPr>
          <w:rFonts w:ascii="仿宋" w:hAnsi="仿宋" w:eastAsia="仿宋"/>
          <w:sz w:val="28"/>
          <w:szCs w:val="28"/>
        </w:rPr>
        <w:t>，</w:t>
      </w:r>
      <w:r>
        <w:rPr>
          <w:rFonts w:hint="eastAsia" w:ascii="仿宋" w:hAnsi="仿宋" w:eastAsia="仿宋"/>
          <w:sz w:val="28"/>
          <w:szCs w:val="28"/>
        </w:rPr>
        <w:t>遂涉诉。该案系争议在线解决机制下，消费者与平台内经营者（以下简称商家）因彼此之间的交易纠纷发生争议，在平台介入并作出处理后转而对平台处理程序以及相应结果产生不满，由此引发了针对平台的诉讼。</w:t>
      </w:r>
      <w:r>
        <w:rPr>
          <w:rFonts w:ascii="仿宋" w:hAnsi="仿宋" w:eastAsia="仿宋"/>
          <w:sz w:val="28"/>
          <w:szCs w:val="28"/>
        </w:rPr>
        <w:t xml:space="preserve"> </w:t>
      </w:r>
    </w:p>
    <w:p>
      <w:pPr>
        <w:ind w:firstLine="560" w:firstLineChars="200"/>
        <w:rPr>
          <w:rFonts w:ascii="仿宋" w:hAnsi="仿宋" w:eastAsia="仿宋"/>
          <w:sz w:val="28"/>
          <w:szCs w:val="28"/>
          <w:lang w:eastAsia="zh-Hans"/>
        </w:rPr>
      </w:pPr>
      <w:r>
        <w:rPr>
          <w:rFonts w:hint="eastAsia" w:ascii="仿宋" w:hAnsi="仿宋" w:eastAsia="仿宋"/>
          <w:sz w:val="28"/>
          <w:szCs w:val="28"/>
        </w:rPr>
        <w:t>2</w:t>
      </w:r>
      <w:r>
        <w:rPr>
          <w:rFonts w:ascii="仿宋" w:hAnsi="仿宋" w:eastAsia="仿宋"/>
          <w:sz w:val="28"/>
          <w:szCs w:val="28"/>
        </w:rPr>
        <w:t>023</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rPr>
        <w:t>月起，长宁法院</w:t>
      </w:r>
      <w:r>
        <w:rPr>
          <w:rFonts w:hint="eastAsia" w:ascii="仿宋" w:hAnsi="仿宋" w:eastAsia="仿宋"/>
          <w:bCs/>
          <w:sz w:val="28"/>
          <w:szCs w:val="28"/>
        </w:rPr>
        <w:t>诉前调解</w:t>
      </w:r>
      <w:r>
        <w:rPr>
          <w:rFonts w:hint="eastAsia" w:ascii="仿宋" w:hAnsi="仿宋" w:eastAsia="仿宋"/>
          <w:sz w:val="28"/>
          <w:szCs w:val="28"/>
        </w:rPr>
        <w:t>受理了大量电商平台在线</w:t>
      </w:r>
      <w:r>
        <w:rPr>
          <w:rFonts w:hint="eastAsia" w:ascii="仿宋" w:hAnsi="仿宋" w:eastAsia="仿宋"/>
          <w:sz w:val="28"/>
          <w:szCs w:val="28"/>
          <w:lang w:eastAsia="zh-Hans"/>
        </w:rPr>
        <w:t>争议处理衍生</w:t>
      </w:r>
      <w:r>
        <w:rPr>
          <w:rFonts w:hint="eastAsia" w:ascii="仿宋" w:hAnsi="仿宋" w:eastAsia="仿宋"/>
          <w:sz w:val="28"/>
          <w:szCs w:val="28"/>
        </w:rPr>
        <w:t>的纠纷，标的金额普遍较小。鉴于该批纠纷系电商平台争议在线解决机制衍生的纠纷，长宁法院</w:t>
      </w:r>
      <w:r>
        <w:rPr>
          <w:rFonts w:ascii="仿宋" w:hAnsi="仿宋" w:eastAsia="仿宋"/>
          <w:bCs/>
          <w:sz w:val="28"/>
          <w:szCs w:val="28"/>
          <w:lang w:val="en"/>
        </w:rPr>
        <w:t>立足从源头上减少诉讼增量目标</w:t>
      </w:r>
      <w:r>
        <w:rPr>
          <w:rFonts w:hint="eastAsia" w:ascii="仿宋" w:hAnsi="仿宋" w:eastAsia="仿宋"/>
          <w:sz w:val="28"/>
          <w:szCs w:val="28"/>
        </w:rPr>
        <w:t>，积极</w:t>
      </w:r>
      <w:r>
        <w:rPr>
          <w:rFonts w:hint="eastAsia" w:ascii="仿宋" w:hAnsi="仿宋" w:eastAsia="仿宋"/>
          <w:bCs/>
          <w:sz w:val="28"/>
          <w:szCs w:val="28"/>
        </w:rPr>
        <w:t>探索诉前多元解纷机制与</w:t>
      </w:r>
      <w:r>
        <w:rPr>
          <w:rFonts w:hint="eastAsia" w:ascii="仿宋" w:hAnsi="仿宋" w:eastAsia="仿宋"/>
          <w:bCs/>
          <w:sz w:val="28"/>
          <w:szCs w:val="28"/>
          <w:lang w:eastAsia="zh-Hans"/>
        </w:rPr>
        <w:t>电商</w:t>
      </w:r>
      <w:r>
        <w:rPr>
          <w:rFonts w:hint="eastAsia" w:ascii="仿宋" w:hAnsi="仿宋" w:eastAsia="仿宋"/>
          <w:bCs/>
          <w:sz w:val="28"/>
          <w:szCs w:val="28"/>
        </w:rPr>
        <w:t>平台争议在线解决机制的有效对接</w:t>
      </w:r>
      <w:r>
        <w:rPr>
          <w:rFonts w:ascii="仿宋" w:hAnsi="仿宋" w:eastAsia="仿宋"/>
          <w:bCs/>
          <w:sz w:val="28"/>
          <w:szCs w:val="28"/>
        </w:rPr>
        <w:t>。</w:t>
      </w:r>
      <w:r>
        <w:rPr>
          <w:rFonts w:hint="eastAsia" w:ascii="仿宋" w:hAnsi="仿宋" w:eastAsia="仿宋"/>
          <w:sz w:val="28"/>
          <w:szCs w:val="28"/>
          <w:lang w:eastAsia="zh-Hans"/>
        </w:rPr>
        <w:t>截</w:t>
      </w:r>
      <w:r>
        <w:rPr>
          <w:rFonts w:hint="eastAsia" w:ascii="仿宋" w:hAnsi="仿宋" w:eastAsia="仿宋"/>
          <w:sz w:val="28"/>
          <w:szCs w:val="28"/>
        </w:rPr>
        <w:t>至</w:t>
      </w:r>
      <w:r>
        <w:rPr>
          <w:rFonts w:ascii="仿宋" w:hAnsi="仿宋" w:eastAsia="仿宋"/>
          <w:sz w:val="28"/>
          <w:szCs w:val="28"/>
          <w:lang w:eastAsia="zh-Hans"/>
        </w:rPr>
        <w:t>10</w:t>
      </w:r>
      <w:r>
        <w:rPr>
          <w:rFonts w:hint="eastAsia" w:ascii="仿宋" w:hAnsi="仿宋" w:eastAsia="仿宋"/>
          <w:sz w:val="28"/>
          <w:szCs w:val="28"/>
          <w:lang w:eastAsia="zh-Hans"/>
        </w:rPr>
        <w:t>月底</w:t>
      </w:r>
      <w:r>
        <w:rPr>
          <w:rFonts w:ascii="仿宋" w:hAnsi="仿宋" w:eastAsia="仿宋"/>
          <w:sz w:val="28"/>
          <w:szCs w:val="28"/>
          <w:lang w:eastAsia="zh-Hans"/>
        </w:rPr>
        <w:t>，</w:t>
      </w:r>
      <w:r>
        <w:rPr>
          <w:rFonts w:hint="eastAsia" w:ascii="仿宋" w:hAnsi="仿宋" w:eastAsia="仿宋"/>
          <w:sz w:val="28"/>
          <w:szCs w:val="28"/>
          <w:lang w:eastAsia="zh-Hans"/>
        </w:rPr>
        <w:t>成功实现该类纠纷受理数量</w:t>
      </w:r>
      <w:r>
        <w:rPr>
          <w:rFonts w:hint="eastAsia" w:ascii="仿宋" w:hAnsi="仿宋" w:eastAsia="仿宋"/>
          <w:sz w:val="28"/>
          <w:szCs w:val="28"/>
        </w:rPr>
        <w:t>环比</w:t>
      </w:r>
      <w:r>
        <w:rPr>
          <w:rFonts w:ascii="仿宋" w:hAnsi="仿宋" w:eastAsia="仿宋"/>
          <w:sz w:val="28"/>
          <w:szCs w:val="28"/>
          <w:lang w:val="en" w:eastAsia="zh-Hans"/>
        </w:rPr>
        <w:t>下降</w:t>
      </w:r>
      <w:r>
        <w:rPr>
          <w:rFonts w:hint="eastAsia" w:ascii="仿宋" w:hAnsi="仿宋" w:eastAsia="仿宋"/>
          <w:sz w:val="28"/>
          <w:szCs w:val="28"/>
        </w:rPr>
        <w:t>60%</w:t>
      </w:r>
      <w:r>
        <w:rPr>
          <w:rFonts w:hint="eastAsia" w:ascii="仿宋" w:hAnsi="仿宋" w:eastAsia="仿宋"/>
          <w:sz w:val="28"/>
          <w:szCs w:val="28"/>
          <w:lang w:eastAsia="zh-Hans"/>
        </w:rPr>
        <w:t>，诉前调</w:t>
      </w:r>
      <w:r>
        <w:rPr>
          <w:rFonts w:hint="eastAsia" w:ascii="仿宋" w:hAnsi="仿宋" w:eastAsia="仿宋"/>
          <w:sz w:val="28"/>
          <w:szCs w:val="28"/>
        </w:rPr>
        <w:t>解成功率</w:t>
      </w:r>
      <w:r>
        <w:rPr>
          <w:rFonts w:hint="eastAsia" w:ascii="仿宋" w:hAnsi="仿宋" w:eastAsia="仿宋"/>
          <w:sz w:val="28"/>
          <w:szCs w:val="28"/>
          <w:lang w:eastAsia="zh-Hans"/>
        </w:rPr>
        <w:t>达</w:t>
      </w:r>
      <w:r>
        <w:rPr>
          <w:rFonts w:ascii="仿宋" w:hAnsi="仿宋" w:eastAsia="仿宋"/>
          <w:sz w:val="28"/>
          <w:szCs w:val="28"/>
          <w:lang w:eastAsia="zh-Hans"/>
        </w:rPr>
        <w:t>30%</w:t>
      </w:r>
      <w:r>
        <w:rPr>
          <w:rFonts w:hint="eastAsia" w:ascii="仿宋" w:hAnsi="仿宋" w:eastAsia="仿宋"/>
          <w:sz w:val="28"/>
          <w:szCs w:val="28"/>
        </w:rPr>
        <w:t>以上</w:t>
      </w:r>
      <w:r>
        <w:rPr>
          <w:rFonts w:hint="eastAsia" w:ascii="仿宋" w:hAnsi="仿宋" w:eastAsia="仿宋"/>
          <w:sz w:val="28"/>
          <w:szCs w:val="28"/>
          <w:lang w:eastAsia="zh-Hans"/>
        </w:rPr>
        <w:t>。</w:t>
      </w:r>
    </w:p>
    <w:p>
      <w:pPr>
        <w:rPr>
          <w:rFonts w:ascii="仿宋" w:hAnsi="仿宋" w:eastAsia="仿宋"/>
          <w:sz w:val="28"/>
          <w:szCs w:val="28"/>
        </w:rPr>
      </w:pPr>
    </w:p>
    <w:p>
      <w:pPr>
        <w:rPr>
          <w:rFonts w:ascii="仿宋" w:hAnsi="仿宋" w:eastAsia="仿宋"/>
          <w:b/>
          <w:sz w:val="28"/>
          <w:szCs w:val="28"/>
        </w:rPr>
      </w:pPr>
      <w:r>
        <w:rPr>
          <w:rFonts w:hint="eastAsia" w:ascii="仿宋" w:hAnsi="仿宋" w:eastAsia="仿宋"/>
          <w:b/>
          <w:sz w:val="28"/>
          <w:szCs w:val="28"/>
          <w:lang w:eastAsia="zh-Hans"/>
        </w:rPr>
        <w:t>主要做法</w:t>
      </w:r>
      <w:r>
        <w:rPr>
          <w:rFonts w:hint="eastAsia" w:ascii="仿宋" w:hAnsi="仿宋" w:eastAsia="仿宋"/>
          <w:b/>
          <w:sz w:val="28"/>
          <w:szCs w:val="28"/>
        </w:rPr>
        <w:t>：</w:t>
      </w:r>
    </w:p>
    <w:p>
      <w:pPr>
        <w:ind w:firstLine="560" w:firstLineChars="200"/>
        <w:rPr>
          <w:rFonts w:ascii="仿宋" w:hAnsi="仿宋" w:eastAsia="仿宋"/>
          <w:sz w:val="28"/>
          <w:szCs w:val="28"/>
        </w:rPr>
      </w:pPr>
      <w:r>
        <w:rPr>
          <w:rFonts w:hint="eastAsia" w:ascii="仿宋" w:hAnsi="仿宋" w:eastAsia="仿宋"/>
          <w:bCs/>
          <w:sz w:val="28"/>
          <w:szCs w:val="28"/>
        </w:rPr>
        <w:t>一、</w:t>
      </w:r>
      <w:r>
        <w:rPr>
          <w:rFonts w:hint="eastAsia" w:ascii="仿宋" w:hAnsi="仿宋" w:eastAsia="仿宋"/>
          <w:bCs/>
          <w:sz w:val="28"/>
          <w:szCs w:val="28"/>
          <w:lang w:eastAsia="zh-Hans"/>
        </w:rPr>
        <w:t>加强对接优化</w:t>
      </w:r>
      <w:r>
        <w:rPr>
          <w:rFonts w:hint="eastAsia" w:ascii="仿宋" w:hAnsi="仿宋" w:eastAsia="仿宋"/>
          <w:bCs/>
          <w:sz w:val="28"/>
          <w:szCs w:val="28"/>
        </w:rPr>
        <w:t>流程。</w:t>
      </w:r>
      <w:r>
        <w:rPr>
          <w:rFonts w:ascii="仿宋" w:hAnsi="仿宋" w:eastAsia="仿宋"/>
          <w:sz w:val="28"/>
          <w:szCs w:val="28"/>
          <w:lang w:val="en"/>
        </w:rPr>
        <w:t>围绕</w:t>
      </w:r>
      <w:r>
        <w:rPr>
          <w:rFonts w:hint="eastAsia" w:ascii="仿宋" w:hAnsi="仿宋" w:eastAsia="仿宋"/>
          <w:sz w:val="28"/>
          <w:szCs w:val="28"/>
        </w:rPr>
        <w:t>调审人员</w:t>
      </w:r>
      <w:r>
        <w:rPr>
          <w:rFonts w:ascii="仿宋" w:hAnsi="仿宋" w:eastAsia="仿宋"/>
          <w:sz w:val="28"/>
          <w:szCs w:val="28"/>
          <w:lang w:val="en"/>
        </w:rPr>
        <w:t>、</w:t>
      </w:r>
      <w:r>
        <w:rPr>
          <w:rFonts w:hint="eastAsia" w:ascii="仿宋" w:hAnsi="仿宋" w:eastAsia="仿宋"/>
          <w:sz w:val="28"/>
          <w:szCs w:val="28"/>
        </w:rPr>
        <w:t>调解进程</w:t>
      </w:r>
      <w:r>
        <w:rPr>
          <w:rFonts w:ascii="仿宋" w:hAnsi="仿宋" w:eastAsia="仿宋"/>
          <w:sz w:val="28"/>
          <w:szCs w:val="28"/>
          <w:lang w:val="en"/>
        </w:rPr>
        <w:t>、</w:t>
      </w:r>
      <w:r>
        <w:rPr>
          <w:rFonts w:hint="eastAsia" w:ascii="仿宋" w:hAnsi="仿宋" w:eastAsia="仿宋"/>
          <w:sz w:val="28"/>
          <w:szCs w:val="28"/>
        </w:rPr>
        <w:t>结果反馈</w:t>
      </w:r>
      <w:r>
        <w:rPr>
          <w:rFonts w:ascii="仿宋" w:hAnsi="仿宋" w:eastAsia="仿宋"/>
          <w:sz w:val="28"/>
          <w:szCs w:val="28"/>
          <w:lang w:val="en"/>
        </w:rPr>
        <w:t>三个方面细化</w:t>
      </w:r>
      <w:r>
        <w:rPr>
          <w:rFonts w:hint="eastAsia" w:ascii="仿宋" w:hAnsi="仿宋" w:eastAsia="仿宋"/>
          <w:sz w:val="28"/>
          <w:szCs w:val="28"/>
        </w:rPr>
        <w:t>对接</w:t>
      </w:r>
      <w:r>
        <w:rPr>
          <w:rFonts w:ascii="仿宋" w:hAnsi="仿宋" w:eastAsia="仿宋"/>
          <w:sz w:val="28"/>
          <w:szCs w:val="28"/>
          <w:lang w:val="en"/>
        </w:rPr>
        <w:t>模式</w:t>
      </w:r>
      <w:r>
        <w:rPr>
          <w:rFonts w:hint="eastAsia" w:ascii="仿宋" w:hAnsi="仿宋" w:eastAsia="仿宋"/>
          <w:sz w:val="28"/>
          <w:szCs w:val="28"/>
          <w:lang w:val="en"/>
        </w:rPr>
        <w:t>，推动</w:t>
      </w:r>
      <w:r>
        <w:rPr>
          <w:rFonts w:hint="eastAsia" w:ascii="仿宋" w:hAnsi="仿宋" w:eastAsia="仿宋"/>
          <w:sz w:val="28"/>
          <w:szCs w:val="28"/>
        </w:rPr>
        <w:t>平台</w:t>
      </w:r>
      <w:r>
        <w:rPr>
          <w:rFonts w:ascii="仿宋" w:hAnsi="仿宋" w:eastAsia="仿宋"/>
          <w:sz w:val="28"/>
          <w:szCs w:val="28"/>
          <w:lang w:val="en"/>
        </w:rPr>
        <w:t>成立专门小组</w:t>
      </w:r>
      <w:r>
        <w:rPr>
          <w:rFonts w:hint="eastAsia" w:ascii="仿宋" w:hAnsi="仿宋" w:eastAsia="仿宋"/>
          <w:sz w:val="28"/>
          <w:szCs w:val="28"/>
          <w:lang w:val="en"/>
        </w:rPr>
        <w:t>负责特定类型</w:t>
      </w:r>
      <w:r>
        <w:rPr>
          <w:rFonts w:hint="eastAsia" w:ascii="仿宋" w:hAnsi="仿宋" w:eastAsia="仿宋"/>
          <w:sz w:val="28"/>
          <w:szCs w:val="28"/>
        </w:rPr>
        <w:t>纠纷调处</w:t>
      </w:r>
      <w:r>
        <w:rPr>
          <w:rFonts w:ascii="仿宋" w:hAnsi="仿宋" w:eastAsia="仿宋"/>
          <w:sz w:val="28"/>
          <w:szCs w:val="28"/>
          <w:lang w:val="en"/>
        </w:rPr>
        <w:t>，</w:t>
      </w:r>
      <w:r>
        <w:rPr>
          <w:rFonts w:hint="eastAsia" w:ascii="仿宋" w:hAnsi="仿宋" w:eastAsia="仿宋"/>
          <w:sz w:val="28"/>
          <w:szCs w:val="28"/>
          <w:lang w:val="en"/>
        </w:rPr>
        <w:t>设定</w:t>
      </w:r>
      <w:r>
        <w:rPr>
          <w:rFonts w:ascii="仿宋" w:hAnsi="仿宋" w:eastAsia="仿宋"/>
          <w:sz w:val="28"/>
          <w:szCs w:val="28"/>
          <w:lang w:val="en"/>
        </w:rPr>
        <w:t>调处</w:t>
      </w:r>
      <w:r>
        <w:rPr>
          <w:rFonts w:hint="eastAsia" w:ascii="仿宋" w:hAnsi="仿宋" w:eastAsia="仿宋"/>
          <w:sz w:val="28"/>
          <w:szCs w:val="28"/>
        </w:rPr>
        <w:t>时间</w:t>
      </w:r>
      <w:r>
        <w:rPr>
          <w:rFonts w:ascii="仿宋" w:hAnsi="仿宋" w:eastAsia="仿宋"/>
          <w:sz w:val="28"/>
          <w:szCs w:val="28"/>
          <w:lang w:val="en"/>
        </w:rPr>
        <w:t>不超过</w:t>
      </w:r>
      <w:r>
        <w:rPr>
          <w:rFonts w:hint="eastAsia" w:ascii="仿宋" w:hAnsi="仿宋" w:eastAsia="仿宋"/>
          <w:sz w:val="28"/>
          <w:szCs w:val="28"/>
        </w:rPr>
        <w:t>二周，案情复杂或有其他特殊情况的不超过四周。平台每周以书面形式向法院反馈调处结果2次，并同步反馈</w:t>
      </w:r>
      <w:r>
        <w:rPr>
          <w:rFonts w:ascii="仿宋" w:hAnsi="仿宋" w:eastAsia="仿宋"/>
          <w:sz w:val="28"/>
          <w:szCs w:val="28"/>
          <w:lang w:val="en"/>
        </w:rPr>
        <w:t>未和解纠纷的</w:t>
      </w:r>
      <w:r>
        <w:rPr>
          <w:rFonts w:hint="eastAsia" w:ascii="仿宋" w:hAnsi="仿宋" w:eastAsia="仿宋"/>
          <w:sz w:val="28"/>
          <w:szCs w:val="28"/>
        </w:rPr>
        <w:t>调解进程。</w:t>
      </w:r>
    </w:p>
    <w:p>
      <w:pPr>
        <w:ind w:firstLine="560" w:firstLineChars="200"/>
        <w:rPr>
          <w:rFonts w:ascii="仿宋" w:hAnsi="仿宋" w:eastAsia="仿宋"/>
          <w:sz w:val="28"/>
          <w:szCs w:val="28"/>
        </w:rPr>
      </w:pPr>
      <w:r>
        <w:rPr>
          <w:rFonts w:hint="eastAsia" w:ascii="仿宋" w:hAnsi="仿宋" w:eastAsia="仿宋"/>
          <w:bCs/>
          <w:sz w:val="28"/>
          <w:szCs w:val="28"/>
        </w:rPr>
        <w:t>二、</w:t>
      </w:r>
      <w:r>
        <w:rPr>
          <w:rFonts w:hint="eastAsia" w:ascii="仿宋" w:hAnsi="仿宋" w:eastAsia="仿宋"/>
          <w:bCs/>
          <w:sz w:val="28"/>
          <w:szCs w:val="28"/>
          <w:lang w:eastAsia="zh-Hans"/>
        </w:rPr>
        <w:t>分层过滤</w:t>
      </w:r>
      <w:r>
        <w:rPr>
          <w:rFonts w:hint="eastAsia" w:ascii="仿宋" w:hAnsi="仿宋" w:eastAsia="仿宋"/>
          <w:bCs/>
          <w:sz w:val="28"/>
          <w:szCs w:val="28"/>
        </w:rPr>
        <w:t>先行化解。</w:t>
      </w:r>
      <w:r>
        <w:rPr>
          <w:rFonts w:hint="eastAsia" w:ascii="仿宋" w:hAnsi="仿宋" w:eastAsia="仿宋"/>
          <w:sz w:val="28"/>
          <w:szCs w:val="28"/>
          <w:lang w:eastAsia="zh-Hans"/>
        </w:rPr>
        <w:t>对起诉到法院的该类纠纷，充分利用诉调“窗口期”，敦促平台剖析成因，完善规则并对照检查先期处置，对确有不当的及时采取补救措施，从而促成平台与商家、商家与消费者自发和解。此项举措得到平台高度认可和积极配合，</w:t>
      </w:r>
      <w:r>
        <w:rPr>
          <w:rFonts w:hint="eastAsia" w:ascii="仿宋" w:hAnsi="仿宋" w:eastAsia="仿宋"/>
          <w:sz w:val="28"/>
          <w:szCs w:val="28"/>
        </w:rPr>
        <w:t>诉调期间达成和解的纠纷数量的比例从10%逐步提升至30%以上。</w:t>
      </w:r>
    </w:p>
    <w:p>
      <w:pPr>
        <w:ind w:firstLine="560" w:firstLineChars="200"/>
        <w:rPr>
          <w:rFonts w:ascii="仿宋" w:hAnsi="仿宋" w:eastAsia="仿宋"/>
          <w:sz w:val="28"/>
          <w:szCs w:val="28"/>
        </w:rPr>
      </w:pPr>
      <w:r>
        <w:rPr>
          <w:rFonts w:hint="eastAsia" w:ascii="仿宋" w:hAnsi="仿宋" w:eastAsia="仿宋"/>
          <w:bCs/>
          <w:sz w:val="28"/>
          <w:szCs w:val="28"/>
        </w:rPr>
        <w:t>三、</w:t>
      </w:r>
      <w:r>
        <w:rPr>
          <w:rFonts w:hint="eastAsia" w:ascii="仿宋" w:hAnsi="仿宋" w:eastAsia="仿宋"/>
          <w:bCs/>
          <w:sz w:val="28"/>
          <w:szCs w:val="28"/>
          <w:lang w:eastAsia="zh-Hans"/>
        </w:rPr>
        <w:t>归纳要素高效流转</w:t>
      </w:r>
      <w:r>
        <w:rPr>
          <w:rFonts w:hint="eastAsia" w:ascii="仿宋" w:hAnsi="仿宋" w:eastAsia="仿宋"/>
          <w:bCs/>
          <w:sz w:val="28"/>
          <w:szCs w:val="28"/>
        </w:rPr>
        <w:t>。</w:t>
      </w:r>
      <w:r>
        <w:rPr>
          <w:rFonts w:hint="eastAsia" w:ascii="仿宋" w:hAnsi="仿宋" w:eastAsia="仿宋"/>
          <w:sz w:val="28"/>
          <w:szCs w:val="28"/>
        </w:rPr>
        <w:t>结合该批案件特征，提炼审理要素，制作案件要素表，</w:t>
      </w:r>
      <w:r>
        <w:rPr>
          <w:rFonts w:hint="eastAsia" w:ascii="仿宋" w:hAnsi="仿宋" w:eastAsia="仿宋"/>
          <w:sz w:val="28"/>
          <w:szCs w:val="28"/>
          <w:lang w:eastAsia="zh-Hans"/>
        </w:rPr>
        <w:t>并</w:t>
      </w:r>
      <w:r>
        <w:rPr>
          <w:rFonts w:hint="eastAsia" w:ascii="仿宋" w:hAnsi="仿宋" w:eastAsia="仿宋"/>
          <w:sz w:val="28"/>
          <w:szCs w:val="28"/>
        </w:rPr>
        <w:t>要求平台对先行调处未果的纠纷，在反馈结果的同时同步提交案件要素表，供指导法官先行全面了解排摸案情，</w:t>
      </w:r>
      <w:r>
        <w:rPr>
          <w:rFonts w:ascii="仿宋" w:hAnsi="仿宋" w:eastAsia="仿宋"/>
          <w:sz w:val="28"/>
          <w:szCs w:val="28"/>
          <w:lang w:val="en"/>
        </w:rPr>
        <w:t>有</w:t>
      </w:r>
      <w:r>
        <w:rPr>
          <w:rFonts w:hint="eastAsia" w:ascii="仿宋" w:hAnsi="仿宋" w:eastAsia="仿宋"/>
          <w:sz w:val="28"/>
          <w:szCs w:val="28"/>
        </w:rPr>
        <w:t>效提升</w:t>
      </w:r>
      <w:r>
        <w:rPr>
          <w:rFonts w:hint="eastAsia" w:ascii="仿宋" w:hAnsi="仿宋" w:eastAsia="仿宋"/>
          <w:sz w:val="28"/>
          <w:szCs w:val="28"/>
          <w:lang w:eastAsia="zh-Hans"/>
        </w:rPr>
        <w:t>审调衔接</w:t>
      </w:r>
      <w:r>
        <w:rPr>
          <w:rFonts w:hint="eastAsia" w:ascii="仿宋" w:hAnsi="仿宋" w:eastAsia="仿宋"/>
          <w:sz w:val="28"/>
          <w:szCs w:val="28"/>
        </w:rPr>
        <w:t>效率。该批纠纷中适用小额诉讼审理程序的案件平均审理天数为</w:t>
      </w:r>
      <w:r>
        <w:rPr>
          <w:rFonts w:ascii="仿宋" w:hAnsi="仿宋" w:eastAsia="仿宋"/>
          <w:sz w:val="28"/>
          <w:szCs w:val="28"/>
        </w:rPr>
        <w:t>38</w:t>
      </w:r>
      <w:r>
        <w:rPr>
          <w:rFonts w:hint="eastAsia" w:ascii="仿宋" w:hAnsi="仿宋" w:eastAsia="仿宋"/>
          <w:sz w:val="28"/>
          <w:szCs w:val="28"/>
        </w:rPr>
        <w:t>天。</w:t>
      </w:r>
    </w:p>
    <w:p>
      <w:pPr>
        <w:ind w:firstLine="560" w:firstLineChars="200"/>
        <w:rPr>
          <w:rFonts w:ascii="仿宋" w:hAnsi="仿宋" w:eastAsia="仿宋"/>
          <w:sz w:val="28"/>
          <w:szCs w:val="28"/>
        </w:rPr>
      </w:pPr>
      <w:r>
        <w:rPr>
          <w:rFonts w:hint="eastAsia" w:ascii="仿宋" w:hAnsi="仿宋" w:eastAsia="仿宋"/>
          <w:bCs/>
          <w:sz w:val="28"/>
          <w:szCs w:val="28"/>
        </w:rPr>
        <w:t>四、</w:t>
      </w:r>
      <w:r>
        <w:rPr>
          <w:rFonts w:hint="eastAsia" w:ascii="仿宋" w:hAnsi="仿宋" w:eastAsia="仿宋"/>
          <w:bCs/>
          <w:sz w:val="28"/>
          <w:szCs w:val="28"/>
          <w:lang w:eastAsia="zh-Hans"/>
        </w:rPr>
        <w:t>上下联动协同治理</w:t>
      </w:r>
      <w:r>
        <w:rPr>
          <w:rFonts w:ascii="仿宋" w:hAnsi="仿宋" w:eastAsia="仿宋"/>
          <w:bCs/>
          <w:sz w:val="28"/>
          <w:szCs w:val="28"/>
          <w:lang w:eastAsia="zh-Hans"/>
        </w:rPr>
        <w:t>。</w:t>
      </w:r>
      <w:r>
        <w:rPr>
          <w:rFonts w:hint="eastAsia" w:ascii="仿宋" w:hAnsi="仿宋" w:eastAsia="仿宋"/>
          <w:sz w:val="28"/>
          <w:szCs w:val="28"/>
          <w:lang w:eastAsia="zh-Hans"/>
        </w:rPr>
        <w:t>梳理纠纷共性及特点，及时与</w:t>
      </w:r>
      <w:r>
        <w:rPr>
          <w:rFonts w:ascii="仿宋" w:hAnsi="仿宋" w:eastAsia="仿宋"/>
          <w:sz w:val="28"/>
          <w:szCs w:val="28"/>
          <w:lang w:val="en" w:eastAsia="zh-Hans"/>
        </w:rPr>
        <w:t>上级</w:t>
      </w:r>
      <w:r>
        <w:rPr>
          <w:rFonts w:hint="eastAsia" w:ascii="仿宋" w:hAnsi="仿宋" w:eastAsia="仿宋"/>
          <w:sz w:val="28"/>
          <w:szCs w:val="28"/>
          <w:lang w:eastAsia="zh-Hans"/>
        </w:rPr>
        <w:t>人民法院沟通，共同拟定上下级法院联动化解方案。通过向平台发送示范案例、司法建议等方式，提升平台</w:t>
      </w:r>
      <w:r>
        <w:rPr>
          <w:rFonts w:hint="eastAsia" w:ascii="仿宋" w:hAnsi="仿宋" w:eastAsia="仿宋"/>
          <w:sz w:val="28"/>
          <w:szCs w:val="28"/>
        </w:rPr>
        <w:t>增强纠纷调处的专业水平和综合能力。电商平台收到平台监管类纠纷的司法建议后，立即优化平台监测排查的算法技术，完善应对问题用户的监管措施，提升平台申诉机制的可操作性。自2023年8月份起，平台监管类纠纷受理数量由每月400余件降至每月100件左右。</w:t>
      </w:r>
    </w:p>
    <w:p>
      <w:pPr>
        <w:rPr>
          <w:rFonts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典型意义：</w:t>
      </w:r>
    </w:p>
    <w:p>
      <w:pPr>
        <w:ind w:firstLine="560" w:firstLineChars="200"/>
        <w:rPr>
          <w:rFonts w:ascii="仿宋" w:hAnsi="仿宋" w:eastAsia="仿宋"/>
          <w:bCs/>
          <w:sz w:val="28"/>
          <w:szCs w:val="28"/>
        </w:rPr>
      </w:pPr>
      <w:r>
        <w:rPr>
          <w:rFonts w:hint="eastAsia" w:ascii="仿宋" w:hAnsi="仿宋" w:eastAsia="仿宋"/>
          <w:bCs/>
          <w:sz w:val="28"/>
          <w:szCs w:val="28"/>
        </w:rPr>
        <w:t>电商平台争议在线解决机制既是电商平台治理的重要组成部分，亦是“把非诉讼纠纷解决机制挺在前面”的必然要求。该批案件的处理是长宁法院构建平台纠纷一站式多元化解新路径的有益探索，锚定电商平台作为纠纷化解第一道关口，推动矛盾纠纷分层过滤体系进一步向前端延伸，发挥电商平台参与互联网空间治理的源头效应和聚合优势，力争实现矛盾纠纷不出平台。</w:t>
      </w:r>
    </w:p>
    <w:p>
      <w:pPr>
        <w:rPr>
          <w:rFonts w:ascii="仿宋" w:hAnsi="仿宋" w:eastAsia="仿宋"/>
          <w:b/>
          <w:sz w:val="28"/>
          <w:szCs w:val="28"/>
        </w:rPr>
      </w:pPr>
    </w:p>
    <w:p>
      <w:pPr>
        <w:rPr>
          <w:rFonts w:ascii="仿宋" w:hAnsi="仿宋" w:eastAsia="仿宋"/>
          <w:b/>
          <w:sz w:val="28"/>
          <w:szCs w:val="28"/>
        </w:rPr>
      </w:pPr>
      <w:r>
        <w:rPr>
          <w:rFonts w:hint="eastAsia" w:ascii="仿宋" w:hAnsi="仿宋" w:eastAsia="仿宋"/>
          <w:b/>
          <w:sz w:val="28"/>
          <w:szCs w:val="28"/>
        </w:rPr>
        <w:t>专家点评：</w:t>
      </w:r>
    </w:p>
    <w:p>
      <w:pPr>
        <w:ind w:firstLine="560" w:firstLineChars="200"/>
        <w:rPr>
          <w:rFonts w:ascii="仿宋" w:hAnsi="仿宋" w:eastAsia="仿宋"/>
          <w:sz w:val="28"/>
          <w:szCs w:val="28"/>
        </w:rPr>
      </w:pPr>
      <w:r>
        <w:rPr>
          <w:rFonts w:hint="eastAsia" w:ascii="仿宋" w:hAnsi="仿宋" w:eastAsia="仿宋"/>
          <w:sz w:val="28"/>
          <w:szCs w:val="28"/>
        </w:rPr>
        <w:t>面对日益复杂的电子商务平台生态，平台纠纷解决途径的快捷性和公正性亦应与其体量相匹配。第一，在目前尚未健全在线纠纷解决机制（ODR）的情况下，推动平台完善纠纷调处机制，让平台承担起纠纷治理的主要责任，在数字经济时代背景下具有积极意义。第二，平台治理是一个新生事物，其在逐步积累自身经验的同时，相关治理的精准化和合理性仍然需要外部不断赋能。只有“内外共治”，才能适应网络社会对纠纷治理的新要求。</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案例作者：长宁区人民法院立案庭审判员周泉泉、法官助理蒋泓泽</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spacing w:line="360" w:lineRule="auto"/>
        <w:rPr>
          <w:rFonts w:hint="eastAsia" w:ascii="黑体" w:hAnsi="黑体" w:eastAsia="黑体"/>
          <w:bCs/>
          <w:sz w:val="28"/>
          <w:szCs w:val="28"/>
        </w:rPr>
      </w:pPr>
      <w:r>
        <w:rPr>
          <w:rFonts w:hint="eastAsia" w:ascii="黑体" w:hAnsi="黑体" w:eastAsia="黑体"/>
          <w:bCs/>
          <w:sz w:val="28"/>
          <w:szCs w:val="28"/>
        </w:rPr>
        <w:t>【案例</w:t>
      </w:r>
      <w:r>
        <w:rPr>
          <w:rFonts w:ascii="黑体" w:hAnsi="黑体" w:eastAsia="黑体"/>
          <w:bCs/>
          <w:sz w:val="28"/>
          <w:szCs w:val="28"/>
        </w:rPr>
        <w:t>5</w:t>
      </w:r>
      <w:r>
        <w:rPr>
          <w:rFonts w:hint="eastAsia" w:ascii="黑体" w:hAnsi="黑体" w:eastAsia="黑体"/>
          <w:bCs/>
          <w:sz w:val="28"/>
          <w:szCs w:val="28"/>
        </w:rPr>
        <w:t>】</w:t>
      </w:r>
    </w:p>
    <w:p>
      <w:pPr>
        <w:spacing w:line="360" w:lineRule="auto"/>
        <w:jc w:val="center"/>
        <w:rPr>
          <w:rFonts w:hint="eastAsia"/>
          <w:b/>
          <w:bCs/>
          <w:sz w:val="32"/>
          <w:szCs w:val="40"/>
        </w:rPr>
      </w:pPr>
    </w:p>
    <w:p>
      <w:pPr>
        <w:spacing w:line="360" w:lineRule="auto"/>
        <w:jc w:val="center"/>
        <w:rPr>
          <w:rFonts w:hint="eastAsia" w:ascii="华文中宋" w:hAnsi="华文中宋" w:eastAsia="华文中宋"/>
          <w:bCs/>
          <w:sz w:val="32"/>
          <w:szCs w:val="40"/>
        </w:rPr>
      </w:pPr>
      <w:r>
        <w:rPr>
          <w:rFonts w:hint="eastAsia" w:ascii="华文中宋" w:hAnsi="华文中宋" w:eastAsia="华文中宋"/>
          <w:bCs/>
          <w:sz w:val="32"/>
          <w:szCs w:val="40"/>
        </w:rPr>
        <w:t>针对老年群体权益保障提供更多司法关怀</w:t>
      </w:r>
    </w:p>
    <w:p>
      <w:pPr>
        <w:spacing w:line="360" w:lineRule="auto"/>
        <w:jc w:val="center"/>
        <w:outlineLvl w:val="0"/>
        <w:rPr>
          <w:rFonts w:hint="eastAsia"/>
          <w:bCs/>
          <w:sz w:val="32"/>
          <w:szCs w:val="40"/>
        </w:rPr>
      </w:pPr>
      <w:bookmarkStart w:id="5" w:name="_Toc24621"/>
      <w:r>
        <w:rPr>
          <w:rFonts w:hint="eastAsia"/>
          <w:bCs/>
          <w:sz w:val="32"/>
          <w:szCs w:val="40"/>
        </w:rPr>
        <w:t>——涉某连锁电器销售商消费纠纷系列案</w:t>
      </w:r>
      <w:bookmarkEnd w:id="5"/>
    </w:p>
    <w:p>
      <w:pPr>
        <w:spacing w:line="360" w:lineRule="auto"/>
        <w:rPr>
          <w:rFonts w:hint="eastAsia" w:ascii="仿宋_GB2312" w:hAnsi="仿宋_GB2312" w:eastAsia="仿宋_GB2312" w:cs="仿宋_GB2312"/>
          <w:b/>
          <w:bCs/>
          <w:sz w:val="28"/>
          <w:szCs w:val="36"/>
        </w:rPr>
      </w:pPr>
    </w:p>
    <w:p>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基本案情：</w:t>
      </w:r>
    </w:p>
    <w:p>
      <w:pPr>
        <w:spacing w:line="360" w:lineRule="auto"/>
        <w:ind w:firstLine="560" w:firstLineChars="200"/>
        <w:rPr>
          <w:rFonts w:hint="eastAsia" w:ascii="仿宋_GB2312" w:hAnsi="仿宋_GB2312" w:eastAsia="仿宋_GB2312" w:cs="仿宋_GB2312"/>
          <w:bCs/>
          <w:sz w:val="28"/>
          <w:szCs w:val="36"/>
        </w:rPr>
      </w:pPr>
      <w:r>
        <w:rPr>
          <w:rFonts w:hint="eastAsia" w:ascii="仿宋_GB2312" w:hAnsi="仿宋_GB2312" w:eastAsia="仿宋_GB2312" w:cs="仿宋_GB2312"/>
          <w:sz w:val="28"/>
          <w:szCs w:val="36"/>
        </w:rPr>
        <w:t>因某连锁电器销售商自2022年起先后关闭上海多家线下门店，大量订单未能按期发货，消费者投诉退款未果，遂纷纷起诉至法院，要求退款或继续履行合同。2023年1月起，长宁法院先后受理上海该电器销售商为被告的买卖合同纠纷共计869起。经审查，该批案件原告以中老年群体为主，其中</w:t>
      </w:r>
      <w:r>
        <w:rPr>
          <w:rFonts w:ascii="仿宋_GB2312" w:hAnsi="仿宋_GB2312" w:eastAsia="仿宋_GB2312" w:cs="仿宋_GB2312"/>
          <w:sz w:val="28"/>
          <w:szCs w:val="36"/>
        </w:rPr>
        <w:t>60</w:t>
      </w:r>
      <w:r>
        <w:rPr>
          <w:rFonts w:hint="eastAsia" w:ascii="仿宋_GB2312" w:hAnsi="仿宋_GB2312" w:eastAsia="仿宋_GB2312" w:cs="仿宋_GB2312"/>
          <w:sz w:val="28"/>
          <w:szCs w:val="36"/>
        </w:rPr>
        <w:t>岁以上者占比达69.2%；购买的商品集中在电冰箱、洗衣机、空调等大家电；平均涉案标的额为11842元。纠纷受理后，长宁法院深入贯彻落实最高院和上海高院发布的“关于为促进消费提供司法服务和保障”的意见及实施方案精神，</w:t>
      </w:r>
      <w:r>
        <w:rPr>
          <w:rFonts w:hint="eastAsia" w:ascii="仿宋_GB2312" w:hAnsi="仿宋_GB2312" w:eastAsia="仿宋_GB2312" w:cs="仿宋_GB2312"/>
          <w:bCs/>
          <w:sz w:val="28"/>
          <w:szCs w:val="36"/>
        </w:rPr>
        <w:t>深化消费纠纷诉调对接机制，以高质量、更便捷的诉讼服务举措保障老年人合法权益。</w:t>
      </w:r>
    </w:p>
    <w:p>
      <w:pPr>
        <w:spacing w:line="360" w:lineRule="auto"/>
        <w:ind w:firstLine="560" w:firstLineChars="200"/>
        <w:rPr>
          <w:rFonts w:hint="eastAsia" w:ascii="仿宋_GB2312" w:hAnsi="仿宋_GB2312" w:eastAsia="仿宋_GB2312" w:cs="仿宋_GB2312"/>
          <w:sz w:val="28"/>
          <w:szCs w:val="36"/>
        </w:rPr>
      </w:pPr>
    </w:p>
    <w:p>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主要做法：</w:t>
      </w:r>
    </w:p>
    <w:p>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bCs/>
          <w:sz w:val="28"/>
          <w:szCs w:val="36"/>
        </w:rPr>
        <w:t>一、一站式诉讼服务输出司法关怀。</w:t>
      </w:r>
      <w:r>
        <w:rPr>
          <w:rFonts w:hint="eastAsia" w:ascii="仿宋_GB2312" w:hAnsi="仿宋_GB2312" w:eastAsia="仿宋_GB2312" w:cs="仿宋_GB2312"/>
          <w:sz w:val="28"/>
          <w:szCs w:val="36"/>
        </w:rPr>
        <w:t>考虑到老年人对“智慧司法”服务的接受度和熟悉度较低以及该批案件的同质化程度高的特征，为促进案件妥善解决，增进老年群体对司法诉讼服务的信任度和满意度，长宁法院树立适老型司法新思维，通过预先制定线下诉讼服务方案，指定专人提供诉讼咨询引导、起诉状模板制作、证据材料整理提交、预约立案、费用缴纳等流程全贯通、业务全覆盖、机制无缝衔接的一站式诉讼服务，将专业的法律语言转化为老年群体喜欢听、听得懂的形式，力求在规范化的诉讼服务基础上定制贴合特定群体需求的具有温度的司法服务，不断满足新时代老年群体的司法新需求。</w:t>
      </w:r>
    </w:p>
    <w:p>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bCs/>
          <w:sz w:val="28"/>
          <w:szCs w:val="36"/>
        </w:rPr>
        <w:t>二、双向保障突出司法速度。</w:t>
      </w:r>
      <w:r>
        <w:rPr>
          <w:rFonts w:hint="eastAsia" w:ascii="仿宋_GB2312" w:hAnsi="仿宋_GB2312" w:eastAsia="仿宋_GB2312" w:cs="仿宋_GB2312"/>
          <w:sz w:val="28"/>
          <w:szCs w:val="36"/>
        </w:rPr>
        <w:t>在处理此批案件时，长宁法院既致力于充分保障老年群体的合法权益，又适当听取经营困难企业的合理诉求，以此方式来获得纠纷矛盾的真正化解。长宁法院在纠纷受理第一时间约谈被告了解纠纷的产生原因和被告的经营现状，并在此基础上全面了解维权消费者的各项诉求，进而对案件进行分类调处。对达成和解意向的案件，当庭出具调解确认书，引导双方尽快履行调解协议内容，早日实现案结、事了、人和。其中以调解和撤诉方式结案648件，占比达74.6%。针对不同意和解的案件，则适用小额诉讼程序进行快速审理，防止双方矛盾纠纷衍生。进入诉讼程序的案件中，判决结案221件，平均审理用时仅为22.4天。</w:t>
      </w:r>
    </w:p>
    <w:p>
      <w:pPr>
        <w:spacing w:line="360" w:lineRule="auto"/>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bCs/>
          <w:sz w:val="28"/>
          <w:szCs w:val="36"/>
        </w:rPr>
        <w:t>三、协同治理延伸司法触角。</w:t>
      </w:r>
      <w:r>
        <w:rPr>
          <w:rFonts w:hint="eastAsia" w:ascii="仿宋_GB2312" w:hAnsi="仿宋_GB2312" w:eastAsia="仿宋_GB2312" w:cs="仿宋_GB2312"/>
          <w:sz w:val="28"/>
          <w:szCs w:val="36"/>
        </w:rPr>
        <w:t>长宁法院积极联动区市场监督管理局、消保委等监管部门，打通数据壁垒，畅通信息传导，充分发挥行政监管在纠纷处置链中的上游优势，并通过及时向市场监管等部门了解纠纷投诉情况及被告该电器销售商经营现状，提前研判纠纷态势，为优化调动资源、妥善处理纠纷奠定基础。与此同时，将法院在处理该批案件过程中碰到的相关情况及时向前端反馈，实现纠纷化解的良性循环，力求在加强市场监管和消费者投诉引导的同时，兼顾企业经营情况，稳妥推进纠纷化解。</w:t>
      </w:r>
    </w:p>
    <w:p>
      <w:pPr>
        <w:spacing w:line="360" w:lineRule="auto"/>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典型意义：</w:t>
      </w:r>
    </w:p>
    <w:p>
      <w:pPr>
        <w:spacing w:line="360" w:lineRule="auto"/>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本批案件系老年人消费维权典型案例，长宁法院着眼老年人合法权益维护、提振消费信心和服务保障上海国际消费中心城市建设，围绕诉讼服务保障、实体权益维护和社会力量统筹三个维度，积极构建“一站式”适老诉讼服务，解决“银发维权”痛点，同时兼顾企业复工复产，生动践行司法为民、优化营商环境理念。</w:t>
      </w:r>
    </w:p>
    <w:p>
      <w:pPr>
        <w:spacing w:line="360" w:lineRule="auto"/>
        <w:rPr>
          <w:rFonts w:hint="eastAsia" w:ascii="仿宋_GB2312" w:hAnsi="仿宋_GB2312" w:eastAsia="仿宋_GB2312" w:cs="仿宋_GB2312"/>
          <w:sz w:val="28"/>
          <w:szCs w:val="36"/>
        </w:rPr>
      </w:pPr>
    </w:p>
    <w:p>
      <w:pPr>
        <w:spacing w:line="360" w:lineRule="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专家点评：</w:t>
      </w:r>
    </w:p>
    <w:p>
      <w:pPr>
        <w:spacing w:line="360" w:lineRule="auto"/>
        <w:ind w:firstLine="560" w:firstLineChars="200"/>
        <w:rPr>
          <w:rFonts w:ascii="仿宋_GB2312" w:hAnsi="仿宋_GB2312" w:eastAsia="仿宋_GB2312" w:cs="仿宋_GB2312"/>
          <w:sz w:val="28"/>
          <w:szCs w:val="36"/>
        </w:rPr>
      </w:pPr>
      <w:r>
        <w:rPr>
          <w:rFonts w:hint="eastAsia" w:ascii="仿宋_GB2312" w:hAnsi="仿宋_GB2312" w:eastAsia="仿宋_GB2312" w:cs="仿宋_GB2312"/>
          <w:sz w:val="28"/>
          <w:szCs w:val="36"/>
        </w:rPr>
        <w:t>消费对经济发展具有基础性作用，而保障老年群体的消费权益对促进消费、释放内需潜力、保障和改善民生和助力发展银发经济具有重大意义。第一，针对不同的当事人提供与之贴合的司法服务符合“司法为民”的要求。目前老年人仍然习惯线下购买大件商品，产生纠纷后，又因不了解诉讼程序而陷入困境。法院作为纠纷化解的最后一道防线，必须秉持“司法为民”理念，才能保护弱势群体的合法权益，并由此提升司法公信力。第二，分类调处加快司法速度，防止双方矛盾纠纷衍生，既保护了消费者的合法权益，困难企业也减少了讼累。第三，协同治理稳妥推进纠纷化解。市场监督管理局、消保委是消费纠纷化解的第一道防线，只有在发挥各方职能的基础上打好“组合拳”，才能有效地预防与解决纠纷。</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案例作者：长宁区人民法院立案庭审判员周泉泉、书记员刘汉青</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snapToGrid w:val="0"/>
        <w:spacing w:line="560" w:lineRule="exact"/>
        <w:rPr>
          <w:rFonts w:hint="eastAsia" w:ascii="黑体" w:hAnsi="黑体" w:eastAsia="黑体" w:cs="方正小标宋简体"/>
          <w:sz w:val="32"/>
          <w:szCs w:val="32"/>
        </w:rPr>
      </w:pPr>
      <w:r>
        <w:rPr>
          <w:rFonts w:hint="eastAsia" w:ascii="黑体" w:hAnsi="黑体" w:eastAsia="黑体" w:cs="方正小标宋简体"/>
          <w:sz w:val="32"/>
          <w:szCs w:val="32"/>
        </w:rPr>
        <w:t>【案例</w:t>
      </w:r>
      <w:r>
        <w:rPr>
          <w:rFonts w:ascii="黑体" w:hAnsi="黑体" w:eastAsia="黑体" w:cs="方正小标宋简体"/>
          <w:sz w:val="32"/>
          <w:szCs w:val="32"/>
        </w:rPr>
        <w:t>6</w:t>
      </w:r>
      <w:r>
        <w:rPr>
          <w:rFonts w:hint="eastAsia" w:ascii="黑体" w:hAnsi="黑体" w:eastAsia="黑体" w:cs="方正小标宋简体"/>
          <w:sz w:val="32"/>
          <w:szCs w:val="32"/>
        </w:rPr>
        <w:t>】</w:t>
      </w:r>
    </w:p>
    <w:p>
      <w:pPr>
        <w:snapToGrid w:val="0"/>
        <w:spacing w:line="560" w:lineRule="exact"/>
        <w:rPr>
          <w:rFonts w:hint="eastAsia" w:ascii="方正小标宋简体" w:hAnsi="方正小标宋简体" w:eastAsia="方正小标宋简体" w:cs="方正小标宋简体"/>
          <w:sz w:val="32"/>
          <w:szCs w:val="32"/>
        </w:rPr>
      </w:pPr>
    </w:p>
    <w:p>
      <w:pPr>
        <w:snapToGrid w:val="0"/>
        <w:spacing w:line="560" w:lineRule="exact"/>
        <w:jc w:val="center"/>
        <w:rPr>
          <w:rFonts w:hint="eastAsia" w:ascii="华文中宋" w:hAnsi="华文中宋" w:eastAsia="华文中宋" w:cs="方正小标宋简体"/>
          <w:sz w:val="32"/>
          <w:szCs w:val="32"/>
        </w:rPr>
      </w:pPr>
      <w:r>
        <w:rPr>
          <w:rFonts w:hint="eastAsia" w:ascii="华文中宋" w:hAnsi="华文中宋" w:eastAsia="华文中宋" w:cs="方正小标宋简体"/>
          <w:sz w:val="32"/>
          <w:szCs w:val="32"/>
        </w:rPr>
        <w:t>释法明理促相互理解  一案调解促批案化解</w:t>
      </w:r>
    </w:p>
    <w:p>
      <w:pPr>
        <w:snapToGrid w:val="0"/>
        <w:spacing w:line="560" w:lineRule="exact"/>
        <w:jc w:val="center"/>
        <w:rPr>
          <w:rFonts w:hint="eastAsia" w:ascii="宋体" w:hAnsi="宋体" w:cs="方正小标宋简体"/>
          <w:sz w:val="32"/>
          <w:szCs w:val="32"/>
        </w:rPr>
      </w:pPr>
      <w:r>
        <w:rPr>
          <w:rFonts w:hint="eastAsia" w:ascii="宋体" w:hAnsi="宋体" w:cs="方正小标宋简体"/>
          <w:sz w:val="32"/>
          <w:szCs w:val="32"/>
        </w:rPr>
        <w:t>——丁某与石某消费服务合同纠纷案</w:t>
      </w: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b/>
          <w:bCs/>
          <w:sz w:val="28"/>
          <w:szCs w:val="28"/>
        </w:rPr>
      </w:pP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基本案情：</w:t>
      </w:r>
    </w:p>
    <w:p>
      <w:pPr>
        <w:snapToGrid w:val="0"/>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2021年10月，丁某带着1岁多的儿子逛商场，路过某母婴用品店，该门店的工作人员向丁某介绍了适合婴幼儿早教锻炼的游泳训练课程，并承诺当天现场支付可以参加品牌优惠活动。丁某考虑到该母婴用品店为连锁品牌，便当场转账支付了3800元，以儿子的名义办理了61次的宝宝游泳服务金卡。</w:t>
      </w:r>
    </w:p>
    <w:p>
      <w:pPr>
        <w:snapToGrid w:val="0"/>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此后，丁某每周都带儿子到该母婴用品店游泳锻炼。2021年11月，受疫情影响游泳课暂停。待到疫情缓和，丁某再次带儿子去店里，发现店里泳池设备不见了，人去楼空，而丁某的游泳卡只消费了11次，卡内还剩余50次。于是丁某致电该母婴用品店的品牌商，</w:t>
      </w:r>
      <w:r>
        <w:rPr>
          <w:rFonts w:hint="eastAsia" w:ascii="仿宋_GB2312" w:hAnsi="仿宋_GB2312" w:eastAsia="仿宋_GB2312" w:cs="仿宋_GB2312"/>
          <w:sz w:val="28"/>
          <w:szCs w:val="28"/>
        </w:rPr>
        <w:t>才恍然大悟，原来</w:t>
      </w:r>
      <w:r>
        <w:rPr>
          <w:rFonts w:ascii="仿宋_GB2312" w:hAnsi="仿宋_GB2312" w:eastAsia="仿宋_GB2312" w:cs="仿宋_GB2312"/>
          <w:sz w:val="28"/>
          <w:szCs w:val="28"/>
        </w:rPr>
        <w:t>该母婴用品店为加盟店，是个体工商户，实际经营者为石某，经工商查询，该个体工商户已经注销。</w:t>
      </w:r>
    </w:p>
    <w:p>
      <w:pPr>
        <w:snapToGrid w:val="0"/>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为了追索预付消费卡内未消费的金额，丁某于2021年12月将石某诉至长宁区人民法院，要求其退还卡内未消费的金额3114元，并承担违约责任。后法院通过诉调对接程序将该案分派至</w:t>
      </w:r>
      <w:r>
        <w:rPr>
          <w:rFonts w:hint="eastAsia" w:ascii="仿宋_GB2312" w:hAnsi="仿宋_GB2312" w:eastAsia="仿宋_GB2312" w:cs="仿宋_GB2312"/>
          <w:sz w:val="28"/>
          <w:szCs w:val="28"/>
        </w:rPr>
        <w:t>长宁区联合人民调解委员会</w:t>
      </w:r>
      <w:r>
        <w:rPr>
          <w:rFonts w:ascii="仿宋_GB2312" w:hAnsi="仿宋_GB2312" w:eastAsia="仿宋_GB2312" w:cs="仿宋_GB2312"/>
          <w:sz w:val="28"/>
          <w:szCs w:val="28"/>
        </w:rPr>
        <w:t>进行调解。</w:t>
      </w: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b/>
          <w:bCs/>
          <w:sz w:val="28"/>
          <w:szCs w:val="28"/>
        </w:rPr>
      </w:pP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调解经过：</w:t>
      </w:r>
    </w:p>
    <w:p>
      <w:pPr>
        <w:snapToGrid w:val="0"/>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调解员</w:t>
      </w:r>
      <w:r>
        <w:rPr>
          <w:rFonts w:hint="eastAsia" w:ascii="仿宋_GB2312" w:hAnsi="仿宋_GB2312" w:eastAsia="仿宋_GB2312" w:cs="仿宋_GB2312"/>
          <w:sz w:val="28"/>
          <w:szCs w:val="28"/>
        </w:rPr>
        <w:t>受理后</w:t>
      </w:r>
      <w:r>
        <w:rPr>
          <w:rFonts w:ascii="仿宋_GB2312" w:hAnsi="仿宋_GB2312" w:eastAsia="仿宋_GB2312" w:cs="仿宋_GB2312"/>
          <w:sz w:val="28"/>
          <w:szCs w:val="28"/>
        </w:rPr>
        <w:t>，首先听取丁某的陈述。</w:t>
      </w:r>
      <w:r>
        <w:rPr>
          <w:rFonts w:hint="eastAsia" w:ascii="仿宋_GB2312" w:hAnsi="仿宋_GB2312" w:eastAsia="仿宋_GB2312" w:cs="仿宋_GB2312"/>
          <w:sz w:val="28"/>
          <w:szCs w:val="28"/>
        </w:rPr>
        <w:t>而后</w:t>
      </w:r>
      <w:r>
        <w:rPr>
          <w:rFonts w:ascii="仿宋_GB2312" w:hAnsi="仿宋_GB2312" w:eastAsia="仿宋_GB2312" w:cs="仿宋_GB2312"/>
          <w:sz w:val="28"/>
          <w:szCs w:val="28"/>
        </w:rPr>
        <w:t>通过丁某提供的线索，调解员联系到母婴用品店的实际经营者石某。石某</w:t>
      </w:r>
      <w:r>
        <w:rPr>
          <w:rFonts w:hint="eastAsia" w:ascii="仿宋_GB2312" w:hAnsi="仿宋_GB2312" w:eastAsia="仿宋_GB2312" w:cs="仿宋_GB2312"/>
          <w:sz w:val="28"/>
          <w:szCs w:val="28"/>
        </w:rPr>
        <w:t>愿意</w:t>
      </w:r>
      <w:r>
        <w:rPr>
          <w:rFonts w:ascii="仿宋_GB2312" w:hAnsi="仿宋_GB2312" w:eastAsia="仿宋_GB2312" w:cs="仿宋_GB2312"/>
          <w:sz w:val="28"/>
          <w:szCs w:val="28"/>
        </w:rPr>
        <w:t>调解解决纠纷，同时向调解员表示，自己本想着投资该母婴品牌，</w:t>
      </w:r>
      <w:r>
        <w:rPr>
          <w:rFonts w:hint="eastAsia" w:ascii="仿宋_GB2312" w:hAnsi="仿宋_GB2312" w:eastAsia="仿宋_GB2312" w:cs="仿宋_GB2312"/>
          <w:sz w:val="28"/>
          <w:szCs w:val="28"/>
        </w:rPr>
        <w:t>支付</w:t>
      </w:r>
      <w:r>
        <w:rPr>
          <w:rFonts w:ascii="仿宋_GB2312" w:hAnsi="仿宋_GB2312" w:eastAsia="仿宋_GB2312" w:cs="仿宋_GB2312"/>
          <w:sz w:val="28"/>
          <w:szCs w:val="28"/>
        </w:rPr>
        <w:t>加盟费，</w:t>
      </w:r>
      <w:r>
        <w:rPr>
          <w:rFonts w:hint="eastAsia" w:ascii="仿宋_GB2312" w:hAnsi="仿宋_GB2312" w:eastAsia="仿宋_GB2312" w:cs="仿宋_GB2312"/>
          <w:sz w:val="28"/>
          <w:szCs w:val="28"/>
        </w:rPr>
        <w:t>承租</w:t>
      </w:r>
      <w:r>
        <w:rPr>
          <w:rFonts w:ascii="仿宋_GB2312" w:hAnsi="仿宋_GB2312" w:eastAsia="仿宋_GB2312" w:cs="仿宋_GB2312"/>
          <w:sz w:val="28"/>
          <w:szCs w:val="28"/>
        </w:rPr>
        <w:t>店面</w:t>
      </w:r>
      <w:r>
        <w:rPr>
          <w:rFonts w:hint="eastAsia" w:ascii="仿宋_GB2312" w:hAnsi="仿宋_GB2312" w:eastAsia="仿宋_GB2312" w:cs="仿宋_GB2312"/>
          <w:sz w:val="28"/>
          <w:szCs w:val="28"/>
        </w:rPr>
        <w:t>后</w:t>
      </w:r>
      <w:r>
        <w:rPr>
          <w:rFonts w:ascii="仿宋_GB2312" w:hAnsi="仿宋_GB2312" w:eastAsia="仿宋_GB2312" w:cs="仿宋_GB2312"/>
          <w:sz w:val="28"/>
          <w:szCs w:val="28"/>
        </w:rPr>
        <w:t>开了半年，刚刚开始盈利，不曾想疫情来袭。根据防疫需要，自己不得不暂停营业</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可是店铺的房租</w:t>
      </w:r>
      <w:r>
        <w:rPr>
          <w:rFonts w:hint="eastAsia" w:ascii="仿宋_GB2312" w:hAnsi="仿宋_GB2312" w:eastAsia="仿宋_GB2312" w:cs="仿宋_GB2312"/>
          <w:sz w:val="28"/>
          <w:szCs w:val="28"/>
        </w:rPr>
        <w:t>仍需支付</w:t>
      </w:r>
      <w:r>
        <w:rPr>
          <w:rFonts w:ascii="仿宋_GB2312" w:hAnsi="仿宋_GB2312" w:eastAsia="仿宋_GB2312" w:cs="仿宋_GB2312"/>
          <w:sz w:val="28"/>
          <w:szCs w:val="28"/>
        </w:rPr>
        <w:t>，员工工资也必须发放。</w:t>
      </w:r>
      <w:r>
        <w:rPr>
          <w:rFonts w:hint="eastAsia" w:ascii="仿宋_GB2312" w:hAnsi="仿宋_GB2312" w:eastAsia="仿宋_GB2312" w:cs="仿宋_GB2312"/>
          <w:sz w:val="28"/>
          <w:szCs w:val="28"/>
        </w:rPr>
        <w:t>目前石某</w:t>
      </w:r>
      <w:r>
        <w:rPr>
          <w:rFonts w:ascii="仿宋_GB2312" w:hAnsi="仿宋_GB2312" w:eastAsia="仿宋_GB2312" w:cs="仿宋_GB2312"/>
          <w:sz w:val="28"/>
          <w:szCs w:val="28"/>
        </w:rPr>
        <w:t>去除所有应付款，自己已经身无分文，为了及时止损只能注销个体工商户，</w:t>
      </w:r>
      <w:r>
        <w:rPr>
          <w:rFonts w:hint="eastAsia" w:ascii="仿宋_GB2312" w:hAnsi="仿宋_GB2312" w:eastAsia="仿宋_GB2312" w:cs="仿宋_GB2312"/>
          <w:sz w:val="28"/>
          <w:szCs w:val="28"/>
        </w:rPr>
        <w:t>本人</w:t>
      </w:r>
      <w:r>
        <w:rPr>
          <w:rFonts w:ascii="仿宋_GB2312" w:hAnsi="仿宋_GB2312" w:eastAsia="仿宋_GB2312" w:cs="仿宋_GB2312"/>
          <w:sz w:val="28"/>
          <w:szCs w:val="28"/>
        </w:rPr>
        <w:t>也正在其他公司打工谋生。</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调解员了解到石某的情况后，对他的难处表示理解，但同时也向他指出，个体工商户已经被注销，但之前因经营所产生的债务并不消灭。</w:t>
      </w:r>
      <w:r>
        <w:rPr>
          <w:rFonts w:ascii="仿宋_GB2312" w:hAnsi="仿宋_GB2312" w:eastAsia="仿宋_GB2312" w:cs="仿宋_GB2312"/>
          <w:sz w:val="28"/>
          <w:szCs w:val="28"/>
        </w:rPr>
        <w:t>根据《中华人民共和国民法典》第五十六条第一款：“个体工商户的债务，个人经营的，以个人财产承担;家庭经营的，以家庭财产承担;无法区分的，以家庭财产承担。”可见，个体工商户本质上是自然人从事工商业经营及商事活动资格法律化的体现，是对自然人商事资格的确认</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个体工商户的债务，以个人或家庭财产承担，个体工商户注销与否，并不影响其责任主体的确定</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经营者需要用个人财产对个人工商户的债务承担无限责任</w:t>
      </w:r>
      <w:r>
        <w:rPr>
          <w:rFonts w:hint="eastAsia" w:ascii="仿宋_GB2312" w:hAnsi="仿宋_GB2312" w:eastAsia="仿宋_GB2312" w:cs="仿宋_GB2312"/>
          <w:sz w:val="28"/>
          <w:szCs w:val="28"/>
        </w:rPr>
        <w:t>；不同于</w:t>
      </w:r>
      <w:r>
        <w:rPr>
          <w:rFonts w:ascii="仿宋_GB2312" w:hAnsi="仿宋_GB2312" w:eastAsia="仿宋_GB2312" w:cs="仿宋_GB2312"/>
          <w:sz w:val="28"/>
          <w:szCs w:val="28"/>
        </w:rPr>
        <w:t>公司以股东的出资额为限承担债务，可以申请破产</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所以，即使是某母婴用品店已经工商注销，作为经营者的石某依旧需要对曾经的债务承担责任。听完调解员的法律分析，石某表示</w:t>
      </w:r>
      <w:r>
        <w:rPr>
          <w:rFonts w:hint="eastAsia" w:ascii="仿宋_GB2312" w:hAnsi="仿宋_GB2312" w:eastAsia="仿宋_GB2312" w:cs="仿宋_GB2312"/>
          <w:sz w:val="28"/>
          <w:szCs w:val="28"/>
        </w:rPr>
        <w:t>自己</w:t>
      </w:r>
      <w:r>
        <w:rPr>
          <w:rFonts w:ascii="仿宋_GB2312" w:hAnsi="仿宋_GB2312" w:eastAsia="仿宋_GB2312" w:cs="仿宋_GB2312"/>
          <w:sz w:val="28"/>
          <w:szCs w:val="28"/>
        </w:rPr>
        <w:t>愿意以个人身份承担退还钱款的责任，但希望丁某能够给予其一点时间，因为还有其他十几个小朋友的游泳卡也是这种情况，自己需要都兼顾到，希望能分期分批退还卡内余额，同时望丁某不再追究其违约责任。调解员表示愿意帮助石某与丁某进行沟通。</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后</w:t>
      </w:r>
      <w:r>
        <w:rPr>
          <w:rFonts w:ascii="仿宋_GB2312" w:hAnsi="仿宋_GB2312" w:eastAsia="仿宋_GB2312" w:cs="仿宋_GB2312"/>
          <w:sz w:val="28"/>
          <w:szCs w:val="28"/>
        </w:rPr>
        <w:t>调解员将与石某的沟通过程和结果告知丁某，建议丁某念在石某的诚意，体谅石某的处境</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能同意石某提出的分期还款方案。丁某听完调解员的劝解，表示对石某的处境表示体谅，同意</w:t>
      </w:r>
      <w:r>
        <w:rPr>
          <w:rFonts w:hint="eastAsia" w:ascii="仿宋_GB2312" w:hAnsi="仿宋_GB2312" w:eastAsia="仿宋_GB2312" w:cs="仿宋_GB2312"/>
          <w:sz w:val="28"/>
          <w:szCs w:val="28"/>
        </w:rPr>
        <w:t>其</w:t>
      </w:r>
      <w:r>
        <w:rPr>
          <w:rFonts w:ascii="仿宋_GB2312" w:hAnsi="仿宋_GB2312" w:eastAsia="仿宋_GB2312" w:cs="仿宋_GB2312"/>
          <w:sz w:val="28"/>
          <w:szCs w:val="28"/>
        </w:rPr>
        <w:t>分期付款方案，同时愿意放弃追究石某的违约责任。</w:t>
      </w:r>
    </w:p>
    <w:p>
      <w:pPr>
        <w:snapToGrid w:val="0"/>
        <w:spacing w:line="560" w:lineRule="exact"/>
        <w:ind w:firstLine="560" w:firstLineChars="200"/>
        <w:rPr>
          <w:rFonts w:ascii="仿宋_GB2312" w:hAnsi="仿宋_GB2312" w:eastAsia="仿宋_GB2312" w:cs="方正小标宋简体"/>
          <w:color w:val="000000"/>
          <w:sz w:val="28"/>
          <w:szCs w:val="28"/>
        </w:rPr>
      </w:pPr>
      <w:r>
        <w:rPr>
          <w:rFonts w:hint="eastAsia" w:ascii="仿宋_GB2312" w:hAnsi="仿宋_GB2312" w:eastAsia="仿宋_GB2312" w:cs="仿宋_GB2312"/>
          <w:sz w:val="28"/>
          <w:szCs w:val="28"/>
        </w:rPr>
        <w:t>有了沟通的基础</w:t>
      </w:r>
      <w:r>
        <w:rPr>
          <w:rFonts w:ascii="仿宋_GB2312" w:hAnsi="仿宋_GB2312" w:eastAsia="仿宋_GB2312" w:cs="仿宋_GB2312"/>
          <w:sz w:val="28"/>
          <w:szCs w:val="28"/>
        </w:rPr>
        <w:t>，调解员组织双方来到调委会进行现场沟通。双方当事人核对了消费卡内实际剩余款项，最终达成了一致的调解意见：石某分三期退还丁某消费卡内的余额，共计3000元，每月月底还款1000元；丁某同意放弃追索违约金，承诺就此事不再向石某提出其他诉求。</w:t>
      </w:r>
    </w:p>
    <w:p>
      <w:pPr>
        <w:snapToGrid w:val="0"/>
        <w:spacing w:line="560" w:lineRule="exact"/>
        <w:ind w:firstLine="560" w:firstLineChars="200"/>
        <w:rPr>
          <w:rFonts w:ascii="仿宋_GB2312" w:hAnsi="仿宋_GB2312" w:eastAsia="仿宋_GB2312" w:cs="方正小标宋简体"/>
          <w:color w:val="000000"/>
          <w:sz w:val="28"/>
          <w:szCs w:val="28"/>
        </w:rPr>
      </w:pPr>
      <w:r>
        <w:rPr>
          <w:rFonts w:ascii="仿宋_GB2312" w:hAnsi="仿宋_GB2312" w:eastAsia="仿宋_GB2312" w:cs="仿宋_GB2312"/>
          <w:sz w:val="28"/>
          <w:szCs w:val="28"/>
        </w:rPr>
        <w:t>2022年6月，调解员对双方进行了电话回访，丁某向调解员表示已经收到了全额的退款，双方对调解结果均表示满意。</w:t>
      </w:r>
    </w:p>
    <w:p>
      <w:pPr>
        <w:pStyle w:val="5"/>
        <w:shd w:val="clear" w:color="auto" w:fill="F9F9F9"/>
        <w:snapToGrid w:val="0"/>
        <w:spacing w:before="0" w:beforeAutospacing="0" w:after="0" w:afterAutospacing="0" w:line="560" w:lineRule="exact"/>
        <w:jc w:val="both"/>
        <w:rPr>
          <w:rFonts w:ascii="仿宋_GB2312" w:hAnsi="仿宋_GB2312" w:eastAsia="仿宋_GB2312" w:cs="仿宋_GB2312"/>
          <w:b/>
          <w:bCs/>
          <w:sz w:val="28"/>
          <w:szCs w:val="28"/>
        </w:rPr>
      </w:pP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典型意义：</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该起</w:t>
      </w:r>
      <w:r>
        <w:rPr>
          <w:rFonts w:ascii="仿宋_GB2312" w:hAnsi="仿宋_GB2312" w:eastAsia="仿宋_GB2312" w:cs="仿宋_GB2312"/>
          <w:sz w:val="28"/>
          <w:szCs w:val="28"/>
        </w:rPr>
        <w:t>婴幼儿消费服务合同纠纷在</w:t>
      </w:r>
      <w:r>
        <w:rPr>
          <w:rFonts w:hint="eastAsia" w:ascii="仿宋_GB2312" w:hAnsi="仿宋_GB2312" w:eastAsia="仿宋_GB2312" w:cs="仿宋_GB2312"/>
          <w:sz w:val="28"/>
          <w:szCs w:val="28"/>
        </w:rPr>
        <w:t>调解员充分释明法律规定和</w:t>
      </w:r>
      <w:r>
        <w:rPr>
          <w:rFonts w:ascii="仿宋_GB2312" w:hAnsi="仿宋_GB2312" w:eastAsia="仿宋_GB2312" w:cs="仿宋_GB2312"/>
          <w:sz w:val="28"/>
          <w:szCs w:val="28"/>
        </w:rPr>
        <w:t>积极沟通下，消费者对经营者在疫情期间的经</w:t>
      </w:r>
      <w:r>
        <w:rPr>
          <w:rFonts w:hint="eastAsia" w:ascii="仿宋_GB2312" w:hAnsi="仿宋_GB2312" w:eastAsia="仿宋_GB2312" w:cs="仿宋_GB2312"/>
          <w:sz w:val="28"/>
          <w:szCs w:val="28"/>
        </w:rPr>
        <w:t>营</w:t>
      </w:r>
      <w:r>
        <w:rPr>
          <w:rFonts w:ascii="仿宋_GB2312" w:hAnsi="仿宋_GB2312" w:eastAsia="仿宋_GB2312" w:cs="仿宋_GB2312"/>
          <w:sz w:val="28"/>
          <w:szCs w:val="28"/>
        </w:rPr>
        <w:t>困难表示体谅，双方最终达成了分期付款的一致意见</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纠纷得以顺利化解。</w:t>
      </w:r>
      <w:r>
        <w:rPr>
          <w:rFonts w:hint="eastAsia" w:ascii="仿宋_GB2312" w:hAnsi="仿宋_GB2312" w:eastAsia="仿宋_GB2312" w:cs="仿宋_GB2312"/>
          <w:sz w:val="28"/>
          <w:szCs w:val="28"/>
        </w:rPr>
        <w:t>同时，</w:t>
      </w:r>
      <w:r>
        <w:rPr>
          <w:rFonts w:ascii="仿宋_GB2312" w:hAnsi="仿宋_GB2312" w:eastAsia="仿宋_GB2312" w:cs="仿宋_GB2312"/>
          <w:sz w:val="28"/>
          <w:szCs w:val="28"/>
        </w:rPr>
        <w:t>由于该案</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妥善解决，</w:t>
      </w:r>
      <w:r>
        <w:rPr>
          <w:rFonts w:hint="eastAsia" w:ascii="仿宋_GB2312" w:hAnsi="仿宋_GB2312" w:eastAsia="仿宋_GB2312" w:cs="仿宋_GB2312"/>
          <w:sz w:val="28"/>
          <w:szCs w:val="28"/>
        </w:rPr>
        <w:t>起到了良好的示范效应，</w:t>
      </w:r>
      <w:r>
        <w:rPr>
          <w:rFonts w:ascii="仿宋_GB2312" w:hAnsi="仿宋_GB2312" w:eastAsia="仿宋_GB2312" w:cs="仿宋_GB2312"/>
          <w:sz w:val="28"/>
          <w:szCs w:val="28"/>
        </w:rPr>
        <w:t>其他同样办理了消费卡的当事人了解到本案的处理结果后均表示愿意协商解决，多起同类纠纷得以一并</w:t>
      </w:r>
      <w:r>
        <w:rPr>
          <w:rFonts w:hint="eastAsia" w:ascii="仿宋_GB2312" w:hAnsi="仿宋_GB2312" w:eastAsia="仿宋_GB2312" w:cs="仿宋_GB2312"/>
          <w:sz w:val="28"/>
          <w:szCs w:val="28"/>
        </w:rPr>
        <w:t>化解</w:t>
      </w:r>
      <w:r>
        <w:rPr>
          <w:rFonts w:ascii="仿宋_GB2312" w:hAnsi="仿宋_GB2312" w:eastAsia="仿宋_GB2312" w:cs="仿宋_GB2312"/>
          <w:sz w:val="28"/>
          <w:szCs w:val="28"/>
        </w:rPr>
        <w:t>，取得了较好的社会效果。</w:t>
      </w: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b/>
          <w:bCs/>
          <w:sz w:val="28"/>
          <w:szCs w:val="28"/>
        </w:rPr>
      </w:pPr>
    </w:p>
    <w:p>
      <w:pPr>
        <w:pStyle w:val="5"/>
        <w:shd w:val="clear" w:color="auto" w:fill="F9F9F9"/>
        <w:snapToGrid w:val="0"/>
        <w:spacing w:before="0" w:beforeAutospacing="0" w:after="0" w:afterAutospacing="0" w:line="560" w:lineRule="exact"/>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专家点评：</w:t>
      </w:r>
    </w:p>
    <w:p>
      <w:pPr>
        <w:snapToGrid w:val="0"/>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第一，调解员明法析理，告知</w:t>
      </w:r>
      <w:r>
        <w:rPr>
          <w:rFonts w:hint="eastAsia" w:ascii="仿宋_GB2312" w:hAnsi="仿宋_GB2312" w:eastAsia="仿宋_GB2312" w:cs="仿宋_GB2312"/>
          <w:sz w:val="28"/>
          <w:szCs w:val="28"/>
        </w:rPr>
        <w:t>个体户应该承担的法律责任，即债务不随着注销而消失</w:t>
      </w:r>
      <w:r>
        <w:rPr>
          <w:rFonts w:hint="eastAsia" w:ascii="仿宋" w:hAnsi="仿宋" w:eastAsia="仿宋"/>
          <w:sz w:val="28"/>
          <w:szCs w:val="28"/>
        </w:rPr>
        <w:t>。第二，调解员</w:t>
      </w:r>
      <w:r>
        <w:rPr>
          <w:rFonts w:hint="eastAsia" w:ascii="仿宋_GB2312" w:hAnsi="仿宋_GB2312" w:eastAsia="仿宋_GB2312" w:cs="仿宋_GB2312"/>
          <w:sz w:val="28"/>
          <w:szCs w:val="28"/>
        </w:rPr>
        <w:t>背靠背调解，让当事人彼此了解对方的难处与需求。其间</w:t>
      </w:r>
      <w:r>
        <w:rPr>
          <w:rFonts w:hint="eastAsia" w:ascii="仿宋" w:hAnsi="仿宋" w:eastAsia="仿宋"/>
          <w:sz w:val="28"/>
          <w:szCs w:val="28"/>
        </w:rPr>
        <w:t>调解员通过换位思考、情感触动等方法，了解了消费者的合理诉求，又通过沟通，让消费者体谅经营者的难处。第三，</w:t>
      </w:r>
      <w:r>
        <w:rPr>
          <w:rFonts w:hint="eastAsia" w:ascii="仿宋_GB2312" w:hAnsi="仿宋_GB2312" w:eastAsia="仿宋_GB2312" w:cs="仿宋_GB2312"/>
          <w:sz w:val="28"/>
          <w:szCs w:val="28"/>
        </w:rPr>
        <w:t>当双方的共同点出现后，组织面对面调解，达成调解协议。第四，跟踪回访，稳固调解成效。第五，本案的成功调解</w:t>
      </w:r>
      <w:r>
        <w:rPr>
          <w:rFonts w:hint="eastAsia" w:ascii="仿宋" w:hAnsi="仿宋" w:eastAsia="仿宋"/>
          <w:sz w:val="28"/>
          <w:szCs w:val="28"/>
        </w:rPr>
        <w:t>促进了类案的协商解决，取得了较好的社会效果。</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案例作者：长宁区联调委驻区法院人民调解窗口 朱 玲</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spacing w:line="520" w:lineRule="exact"/>
        <w:rPr>
          <w:rFonts w:hint="eastAsia" w:ascii="黑体" w:hAnsi="黑体" w:eastAsia="黑体" w:cs="方正小标宋简体"/>
          <w:bCs/>
          <w:sz w:val="32"/>
          <w:szCs w:val="32"/>
        </w:rPr>
      </w:pPr>
      <w:r>
        <w:rPr>
          <w:rFonts w:hint="eastAsia" w:ascii="黑体" w:hAnsi="黑体" w:eastAsia="黑体" w:cs="方正小标宋简体"/>
          <w:bCs/>
          <w:sz w:val="32"/>
          <w:szCs w:val="32"/>
        </w:rPr>
        <w:t>【案例</w:t>
      </w:r>
      <w:r>
        <w:rPr>
          <w:rFonts w:ascii="黑体" w:hAnsi="黑体" w:eastAsia="黑体" w:cs="方正小标宋简体"/>
          <w:bCs/>
          <w:sz w:val="32"/>
          <w:szCs w:val="32"/>
        </w:rPr>
        <w:t>7</w:t>
      </w:r>
      <w:r>
        <w:rPr>
          <w:rFonts w:hint="eastAsia" w:ascii="黑体" w:hAnsi="黑体" w:eastAsia="黑体" w:cs="方正小标宋简体"/>
          <w:bCs/>
          <w:sz w:val="32"/>
          <w:szCs w:val="32"/>
        </w:rPr>
        <w:t>】</w:t>
      </w:r>
    </w:p>
    <w:p>
      <w:pPr>
        <w:spacing w:line="520" w:lineRule="exact"/>
        <w:jc w:val="center"/>
        <w:rPr>
          <w:rFonts w:hint="eastAsia" w:ascii="方正小标宋简体" w:hAnsi="方正小标宋简体" w:eastAsia="方正小标宋简体" w:cs="方正小标宋简体"/>
          <w:bCs/>
          <w:sz w:val="32"/>
          <w:szCs w:val="32"/>
        </w:rPr>
      </w:pPr>
    </w:p>
    <w:p>
      <w:pPr>
        <w:spacing w:line="520" w:lineRule="exact"/>
        <w:jc w:val="center"/>
        <w:rPr>
          <w:rFonts w:hint="eastAsia" w:ascii="华文中宋" w:hAnsi="华文中宋" w:eastAsia="华文中宋" w:cs="方正小标宋简体"/>
          <w:bCs/>
          <w:sz w:val="32"/>
          <w:szCs w:val="32"/>
        </w:rPr>
      </w:pPr>
      <w:r>
        <w:rPr>
          <w:rFonts w:hint="eastAsia" w:ascii="华文中宋" w:hAnsi="华文中宋" w:eastAsia="华文中宋" w:cs="方正小标宋简体"/>
          <w:bCs/>
          <w:sz w:val="32"/>
          <w:szCs w:val="32"/>
        </w:rPr>
        <w:t>利用调解优势全面解纷减少诉累</w:t>
      </w:r>
    </w:p>
    <w:p>
      <w:pPr>
        <w:spacing w:line="520" w:lineRule="exact"/>
        <w:jc w:val="center"/>
        <w:outlineLvl w:val="0"/>
        <w:rPr>
          <w:rFonts w:hint="eastAsia" w:ascii="宋体" w:hAnsi="宋体" w:cs="方正小标宋简体"/>
          <w:bCs/>
          <w:sz w:val="32"/>
          <w:szCs w:val="32"/>
        </w:rPr>
      </w:pPr>
      <w:bookmarkStart w:id="6" w:name="_Toc23784"/>
      <w:r>
        <w:rPr>
          <w:rFonts w:hint="eastAsia" w:ascii="宋体" w:hAnsi="宋体" w:cs="方正小标宋简体"/>
          <w:bCs/>
          <w:sz w:val="32"/>
          <w:szCs w:val="32"/>
        </w:rPr>
        <w:t>——高某与缪某某婚姻家庭纠纷案</w:t>
      </w:r>
      <w:bookmarkEnd w:id="6"/>
    </w:p>
    <w:p>
      <w:pPr>
        <w:snapToGrid w:val="0"/>
        <w:spacing w:line="560" w:lineRule="exact"/>
        <w:rPr>
          <w:rFonts w:hint="eastAsia" w:ascii="仿宋_GB2312" w:hAnsi="仿宋_GB2312" w:eastAsia="仿宋_GB2312" w:cs="仿宋_GB2312"/>
          <w:b/>
          <w:sz w:val="28"/>
          <w:szCs w:val="28"/>
        </w:rPr>
      </w:pPr>
    </w:p>
    <w:p>
      <w:pPr>
        <w:snapToGrid w:val="0"/>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案情简介：</w:t>
      </w:r>
    </w:p>
    <w:p>
      <w:pPr>
        <w:snapToGrid w:val="0"/>
        <w:spacing w:line="56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高某与缪某某在同一小区居住，2011年8月，两人经邻居介绍相识，一个月后确立恋爱关系。恋爱期间，双方关系融洽，相恋甚欢。2012年10月，两人领取了结婚证。2015年10月，两人生育了一个儿子。随着孩子的出生，两人也因孩子的抚养、教育及家庭生活琐事产生了矛盾。缪某某从事的职业是驾驶员，加班较晚时就回父母家居住，高某因此认为其对家庭和孩子关心较少。2019年1月，高某带孩子在外租房居住，期间缪某某偶尔前去居住。2020年3月，缪某某前往高某住处，发生争吵，双方开始分居。2021年4月，高某向法院提出离婚诉讼，缪某某坚持不同意离婚。法院于2021年6月作出民事判决：驳回高某要求与缪某某离婚的诉讼请求。判决以后，两人仍处于分居状态，夫妻关系未有改善。</w:t>
      </w:r>
    </w:p>
    <w:p>
      <w:pPr>
        <w:snapToGrid w:val="0"/>
        <w:spacing w:line="560" w:lineRule="exact"/>
        <w:ind w:firstLine="548" w:firstLineChars="196"/>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2022年8月，高某又向法院提起诉讼，要求依法判令双方离婚；判令婚生子随自己共同生活，缪某某每月支付儿子抚育费3000元，至其十八周岁时止。</w:t>
      </w:r>
    </w:p>
    <w:p>
      <w:pPr>
        <w:snapToGrid w:val="0"/>
        <w:spacing w:line="560" w:lineRule="exact"/>
        <w:ind w:firstLine="548" w:firstLineChars="196"/>
        <w:rPr>
          <w:rFonts w:hint="eastAsia" w:ascii="仿宋_GB2312" w:hAnsi="仿宋_GB2312" w:eastAsia="仿宋_GB2312" w:cs="仿宋_GB2312"/>
          <w:snapToGrid w:val="0"/>
          <w:sz w:val="28"/>
          <w:szCs w:val="28"/>
        </w:rPr>
      </w:pPr>
    </w:p>
    <w:p>
      <w:pPr>
        <w:snapToGrid w:val="0"/>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调解经过：</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本案系第二次诉讼，调解有难度。调解员接手案件后，先查阅卷宗，了解案件情况。申请人高某的诉状请求只有离婚和孩子抚养两项，未涉及到财产分割。如果缪某某同意离婚，案件调解难度应该不大。</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与缪某某沟通，缪某某提出，双方还有财产纠纷，婚前自家有动迁房，与高某结婚后，房产证上增加了高某的名字，注明缪某某的母亲罗某某享有二分之一产权份额，高某和自己各享有四分之一产权份额。高某处有一笔夫妻共同财产的存款。两人结婚十年，现高某既要求抚养权，又分割房产，自己不能接受。</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解员从法律层面解释了房子涉及到案外人，高某没有要求在本案中处理，是符合法律规定的；缪某某要求分割高某处的存款需要提供相应证据。调解员同时从情理上分析了双方夫妻关系的现状，并告知双方即使离婚，也要从有利于孩子成长角度出发，把对孩子的伤害降低到最小。对于房产问题，如果双方接受调解，可以一并处理。</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着，调解员与高某律师联系，高某的律师表示，双方已符合法定离婚的条件，就由法院来判决处理。调解员随即做代理律师工作，希望代理律师从双方儿子的成长角度考虑，财产问题可以先统计存款数额，通过调解一并解决。</w:t>
      </w:r>
    </w:p>
    <w:p>
      <w:pPr>
        <w:snapToGrid w:val="0"/>
        <w:spacing w:line="560" w:lineRule="exact"/>
        <w:ind w:firstLine="560" w:firstLineChars="200"/>
        <w:rPr>
          <w:rFonts w:hint="eastAsia" w:ascii="仿宋_GB2312" w:hAnsi="仿宋_GB2312" w:eastAsia="仿宋_GB2312" w:cs="仿宋_GB2312"/>
          <w:snapToGrid w:val="0"/>
          <w:sz w:val="28"/>
          <w:szCs w:val="28"/>
        </w:rPr>
      </w:pPr>
      <w:r>
        <w:rPr>
          <w:rFonts w:hint="eastAsia" w:ascii="仿宋_GB2312" w:hAnsi="仿宋_GB2312" w:eastAsia="仿宋_GB2312" w:cs="仿宋_GB2312"/>
          <w:sz w:val="28"/>
          <w:szCs w:val="28"/>
        </w:rPr>
        <w:t>调解时，缪某某表示同意离婚，孩子抚养权及财产问题希望双方能继续协商。本案的争议点主要在于孩子的抚养（抚育费数额）及房产分割（高某去除四分之一房产份额，折算价款数额）。在调解员的主持和耐心的劝导下，双方结合存款情况及缪某某的工资收入情况，就上述争议达成了一致意见。由于罗某某是产权所有人，变更共有人需征得其同意，为及时解决当事人纠纷，避免累讼及当事人往返，调解员让缪某某通知其母亲罗某某到场，作为第三人参加诉讼。罗某某接电话后对调解结果满意并赶往法院，双方达成调解协议：</w:t>
      </w:r>
      <w:r>
        <w:rPr>
          <w:rFonts w:hint="eastAsia" w:ascii="仿宋_GB2312" w:hAnsi="仿宋_GB2312" w:eastAsia="仿宋_GB2312" w:cs="仿宋_GB2312"/>
          <w:snapToGrid w:val="0"/>
          <w:sz w:val="28"/>
          <w:szCs w:val="28"/>
        </w:rPr>
        <w:t xml:space="preserve">高某与缪某某自愿离婚；同时，对儿子的抚养费、探视权、房产份额、经济补偿、财产分割等一并作出确认。 </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调解协议达成后，双方当事人及代理律师都对调解员表示了感谢。当事人关系比之前缓和，互道再见。 </w:t>
      </w:r>
    </w:p>
    <w:p>
      <w:pPr>
        <w:snapToGrid w:val="0"/>
        <w:spacing w:line="560" w:lineRule="exact"/>
        <w:rPr>
          <w:rFonts w:ascii="仿宋_GB2312" w:hAnsi="仿宋_GB2312" w:eastAsia="仿宋_GB2312" w:cs="仿宋_GB2312"/>
          <w:b/>
          <w:bCs/>
          <w:sz w:val="28"/>
          <w:szCs w:val="28"/>
        </w:rPr>
      </w:pPr>
    </w:p>
    <w:p>
      <w:pPr>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典型意义：</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案调解员在了解纠纷争议焦点后，在组织双方调解前分头先做了双方工作，让双方对案件结果有个合理预期。值得肯定的是，调解员在调解过程中并未就案办案，而是在促成双方达成初步调解方案后，当即通知缪某某母亲作为第三人参加诉讼，一并处理了可能衍生的纠纷，避免当事人来回往返，使得纠纷得以真正化解事了，处理方式、结果和效率均得到当事人各方的一致肯定。</w:t>
      </w:r>
    </w:p>
    <w:p>
      <w:pPr>
        <w:snapToGrid w:val="0"/>
        <w:spacing w:line="560" w:lineRule="exact"/>
        <w:rPr>
          <w:rFonts w:ascii="仿宋_GB2312" w:hAnsi="仿宋_GB2312" w:eastAsia="仿宋_GB2312" w:cs="仿宋_GB2312"/>
          <w:b/>
          <w:bCs/>
          <w:sz w:val="28"/>
          <w:szCs w:val="28"/>
        </w:rPr>
      </w:pPr>
    </w:p>
    <w:p>
      <w:pPr>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专家点评：</w:t>
      </w:r>
    </w:p>
    <w:p>
      <w:pPr>
        <w:snapToGrid w:val="0"/>
        <w:spacing w:line="560" w:lineRule="exact"/>
        <w:ind w:firstLine="560" w:firstLineChars="200"/>
        <w:rPr>
          <w:rFonts w:ascii="仿宋_GB2312" w:hAnsi="仿宋_GB2312" w:eastAsia="仿宋_GB2312" w:cs="仿宋_GB2312"/>
          <w:snapToGrid w:val="0"/>
          <w:sz w:val="28"/>
          <w:szCs w:val="28"/>
        </w:rPr>
      </w:pPr>
      <w:r>
        <w:rPr>
          <w:rFonts w:hint="eastAsia" w:ascii="仿宋" w:hAnsi="仿宋" w:eastAsia="仿宋" w:cs="仿宋_GB2312"/>
          <w:sz w:val="28"/>
          <w:szCs w:val="28"/>
        </w:rPr>
        <w:t>该案处理充分体现了调解在化解家事纠纷中的优势。第一，调解员在本案的争议焦点上明法析理，对案中涉及到的房产、存款等财产问题进行了法律解释，明确了双方的合法权益。第二，调解员巧妙运用情理法，引导双方换位思考，对夫妻关系的现状进行了情理上的分析；又兼具社会责任，提醒代理律师从孩子成长的角度出发；还积极推动多方协调，让母亲（罗某某）作为第三人参加诉讼，提高了解纷效率。第三，</w:t>
      </w:r>
      <w:r>
        <w:rPr>
          <w:rFonts w:hint="eastAsia" w:ascii="仿宋_GB2312" w:hAnsi="仿宋_GB2312" w:eastAsia="仿宋_GB2312" w:cs="仿宋_GB2312"/>
          <w:sz w:val="28"/>
          <w:szCs w:val="28"/>
        </w:rPr>
        <w:t>本案涉及孩子</w:t>
      </w:r>
      <w:r>
        <w:rPr>
          <w:rFonts w:hint="eastAsia" w:ascii="仿宋_GB2312" w:hAnsi="仿宋_GB2312" w:eastAsia="仿宋_GB2312" w:cs="仿宋_GB2312"/>
          <w:snapToGrid w:val="0"/>
          <w:sz w:val="28"/>
          <w:szCs w:val="28"/>
        </w:rPr>
        <w:t>抚养权、抚养费、探视权、房产份额、财产分割等系列纠纷，如果单项处理，会给当事人今后的生活带来困扰，不利于家庭稳定和未成年人健康成长。而调解有利于了解纠纷双方的争议点，从情理法的角度，促使当事人一并解决所有的争议点。</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案例作者：长宁区婚姻家庭纠纷人民调解委员会调解员 王俊</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snapToGrid w:val="0"/>
        <w:spacing w:line="560" w:lineRule="exact"/>
        <w:rPr>
          <w:rFonts w:ascii="黑体" w:hAnsi="黑体" w:eastAsia="黑体" w:cs="方正小标宋简体"/>
          <w:bCs/>
          <w:sz w:val="28"/>
          <w:szCs w:val="44"/>
        </w:rPr>
      </w:pPr>
      <w:r>
        <w:rPr>
          <w:rFonts w:hint="eastAsia" w:ascii="黑体" w:hAnsi="黑体" w:eastAsia="黑体" w:cs="方正小标宋简体"/>
          <w:bCs/>
          <w:sz w:val="28"/>
          <w:szCs w:val="44"/>
        </w:rPr>
        <w:t>【案例</w:t>
      </w:r>
      <w:r>
        <w:rPr>
          <w:rFonts w:ascii="黑体" w:hAnsi="黑体" w:eastAsia="黑体" w:cs="方正小标宋简体"/>
          <w:bCs/>
          <w:sz w:val="28"/>
          <w:szCs w:val="44"/>
        </w:rPr>
        <w:t>8</w:t>
      </w:r>
      <w:r>
        <w:rPr>
          <w:rFonts w:hint="eastAsia" w:ascii="黑体" w:hAnsi="黑体" w:eastAsia="黑体" w:cs="方正小标宋简体"/>
          <w:bCs/>
          <w:sz w:val="28"/>
          <w:szCs w:val="44"/>
        </w:rPr>
        <w:t>】</w:t>
      </w:r>
    </w:p>
    <w:p>
      <w:pPr>
        <w:snapToGrid w:val="0"/>
        <w:spacing w:line="560" w:lineRule="exact"/>
        <w:jc w:val="center"/>
        <w:rPr>
          <w:rFonts w:ascii="方正小标宋简体" w:hAnsi="方正小标宋简体" w:eastAsia="方正小标宋简体" w:cs="方正小标宋简体"/>
          <w:bCs/>
          <w:szCs w:val="32"/>
        </w:rPr>
      </w:pPr>
    </w:p>
    <w:p>
      <w:pPr>
        <w:snapToGrid w:val="0"/>
        <w:spacing w:line="560" w:lineRule="exact"/>
        <w:jc w:val="center"/>
        <w:rPr>
          <w:rFonts w:ascii="华文中宋" w:hAnsi="华文中宋" w:eastAsia="华文中宋" w:cs="方正小标宋简体"/>
          <w:bCs/>
          <w:sz w:val="32"/>
          <w:szCs w:val="48"/>
        </w:rPr>
      </w:pPr>
      <w:r>
        <w:rPr>
          <w:rFonts w:hint="eastAsia" w:ascii="华文中宋" w:hAnsi="华文中宋" w:eastAsia="华文中宋" w:cs="方正小标宋简体"/>
          <w:bCs/>
          <w:sz w:val="32"/>
          <w:szCs w:val="48"/>
        </w:rPr>
        <w:t>专业释明消除误会  深入沟通强调诚信</w:t>
      </w:r>
    </w:p>
    <w:p>
      <w:pPr>
        <w:snapToGrid w:val="0"/>
        <w:spacing w:line="560" w:lineRule="exact"/>
        <w:jc w:val="center"/>
        <w:rPr>
          <w:rFonts w:asciiTheme="majorEastAsia" w:hAnsiTheme="majorEastAsia" w:eastAsiaTheme="majorEastAsia"/>
          <w:bCs/>
          <w:sz w:val="32"/>
          <w:szCs w:val="48"/>
        </w:rPr>
      </w:pPr>
      <w:r>
        <w:rPr>
          <w:rFonts w:hint="eastAsia" w:cs="方正小标宋简体" w:asciiTheme="majorEastAsia" w:hAnsiTheme="majorEastAsia" w:eastAsiaTheme="majorEastAsia"/>
          <w:bCs/>
          <w:sz w:val="32"/>
          <w:szCs w:val="48"/>
        </w:rPr>
        <w:t>——某地产经纪公司与赵某合同纠纷案</w:t>
      </w:r>
    </w:p>
    <w:p>
      <w:pPr>
        <w:snapToGrid w:val="0"/>
        <w:spacing w:line="560" w:lineRule="exact"/>
        <w:ind w:left="562" w:hanging="562" w:hangingChars="200"/>
        <w:rPr>
          <w:rFonts w:ascii="仿宋_GB2312" w:hAnsi="仿宋_GB2312" w:eastAsia="仿宋_GB2312" w:cs="仿宋_GB2312"/>
          <w:b/>
          <w:bCs/>
          <w:sz w:val="28"/>
          <w:szCs w:val="28"/>
        </w:rPr>
      </w:pPr>
    </w:p>
    <w:p>
      <w:pPr>
        <w:snapToGrid w:val="0"/>
        <w:spacing w:line="560" w:lineRule="exact"/>
        <w:ind w:left="562" w:hanging="562" w:hangingChars="200"/>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案情简介</w:t>
      </w:r>
      <w:r>
        <w:rPr>
          <w:rFonts w:hint="eastAsia" w:ascii="仿宋_GB2312" w:hAnsi="仿宋_GB2312" w:eastAsia="仿宋_GB2312" w:cs="仿宋_GB2312"/>
          <w:bCs/>
          <w:sz w:val="28"/>
          <w:szCs w:val="28"/>
        </w:rPr>
        <w:t>：</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12月25日，申请人某地产经纪公司与赵某签订房地产买卖居间协议，赵某为出售方，约定出售上海市长宁区某房屋及车位，佣金为15万元。签订协议当日，某地产经纪公司收到10万元，剩余5万元佣金约定过户当日收取。</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1月27日，赵某与买方就涉案房屋签订房屋买卖合同及补充协议，后赵某意欲解除该房屋买卖合同，经法院判决确认，涉案房屋买卖合同继续履行。2022年7月涉案房屋完成房屋过户手续，然而赵某一直未支付剩余的佣金5万元。2022年8月，某地产经纪公司向法院起诉。</w:t>
      </w:r>
    </w:p>
    <w:p>
      <w:pPr>
        <w:snapToGrid w:val="0"/>
        <w:spacing w:line="560" w:lineRule="exact"/>
        <w:rPr>
          <w:rFonts w:ascii="仿宋_GB2312" w:hAnsi="仿宋_GB2312" w:eastAsia="仿宋_GB2312" w:cs="仿宋_GB2312"/>
          <w:b/>
          <w:bCs/>
          <w:sz w:val="28"/>
          <w:szCs w:val="28"/>
        </w:rPr>
      </w:pPr>
    </w:p>
    <w:p>
      <w:pPr>
        <w:snapToGrid w:val="0"/>
        <w:spacing w:line="560" w:lineRule="exact"/>
        <w:rPr>
          <w:rFonts w:ascii="仿宋_GB2312" w:hAnsi="仿宋_GB2312" w:eastAsia="仿宋_GB2312" w:cs="仿宋_GB2312"/>
          <w:bCs/>
          <w:sz w:val="28"/>
          <w:szCs w:val="28"/>
        </w:rPr>
      </w:pPr>
      <w:r>
        <w:rPr>
          <w:rFonts w:hint="eastAsia" w:ascii="仿宋_GB2312" w:hAnsi="仿宋_GB2312" w:eastAsia="仿宋_GB2312" w:cs="仿宋_GB2312"/>
          <w:b/>
          <w:bCs/>
          <w:sz w:val="28"/>
          <w:szCs w:val="28"/>
        </w:rPr>
        <w:t>调解经过</w:t>
      </w:r>
      <w:r>
        <w:rPr>
          <w:rFonts w:hint="eastAsia" w:ascii="仿宋_GB2312" w:hAnsi="仿宋_GB2312" w:eastAsia="仿宋_GB2312" w:cs="仿宋_GB2312"/>
          <w:bCs/>
          <w:sz w:val="28"/>
          <w:szCs w:val="28"/>
        </w:rPr>
        <w:t>：</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调解员联系到赵某。赵某是一位年逾七旬的老人，他向调解员解释，最初他并不想把自己的房子卖掉，是听房产中介的人说房子现在已经是高位了，建议老人把房子卖掉，换到偏远的空气好的郊区，加之中介还热情地带他去看了风景优美的新开发楼盘，很是让赵某动心。最终决定卖掉市区的房子，与中介签订了卖房委托合同及佣金确认书。</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由于买房人需要向银行贷款分批支付房款。在等待贷款的过程中，赵某发现自己的房子价格比之前上涨不少，很是后悔，于是想在对方款项未全部付清之前终止房屋买卖合同，遭到买家拒绝后，又起诉至法院，法院判决确认涉案房屋买卖合同继续履行。</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于支付剩余佣金的事，赵某有意见，认为中介在合同签订前和签订后服务态度大相径庭。在服务合同签订前，每日嘘寒问暖，任何问题有求必应。等到合同签字以后，中介态度迥异，需要咨询帮助时就以各种借口推诿，敷衍了事，对于买家贷款到位的具体信息也一概不清。房产中介经纪人趋利附势的工作作风，令赵某不满，故至今不愿再支付任何款项给中介。</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调解员在对赵某的遭遇表示同情的同时，也向他指出在居间服务合同履行中，工作人员的工作态度和工作瑕疵不能作为拒付中介佣金的理由。根据《中华人民共和国民法典》第九百六十一条和第九百六十三条，中介人负有提供订立合同的机会、或者是提供订立合同媒介服务的义务,而委托人的义务则为支付相应的报酬。如果中介人促成合同成立，已经履行了义务,则享有报酬请求权。至于服务瑕疵问题，调解员也愿意帮助被申请人在双方约定的基础上，根据实际情况进行核减。</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同时，调解员向经纪公司的委托代理人指出，经纪公司发挥其专业优势，在整个居间过程中作为专业人士应全面履行其义务，这也包括根据诚实信用原则、合同的性质与目的以及交易习惯所产生的附随义务，包括协助买卖双方履行买卖合同，通知、告知、保密等，为双方履行买卖合同继续提供服务直至“房款两讫”。</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委托代理律师听完调解员的阐述后表示，回去后向公司转达赵某的意见，改正工作作风，减少工作失误，并同时当庭表示，对于中介服务过程中的瑕疵问题愿意给予一定的让步，作出经济上的补偿，同意减免佣金人民币1万元。</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赵某经调解员释法明理后表示接受，当庭表示可以马上全额支付佣金余款。</w:t>
      </w:r>
      <w:r>
        <w:rPr>
          <w:rFonts w:ascii="仿宋_GB2312" w:hAnsi="仿宋_GB2312" w:eastAsia="仿宋_GB2312" w:cs="仿宋_GB2312"/>
          <w:sz w:val="28"/>
          <w:szCs w:val="28"/>
        </w:rPr>
        <w:t>经调解，最终达成了一致的调解意见</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赵某向某地产经纪公司一次性支付中介佣金人民币4万元。并当场履行完毕。</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调解员在短短不到一个月的时间里解决了纠纷，得到了双方当事人的赞誉，经纪公司一方更是寄来了感谢信。</w:t>
      </w:r>
    </w:p>
    <w:p>
      <w:pPr>
        <w:snapToGrid w:val="0"/>
        <w:spacing w:line="560" w:lineRule="exact"/>
        <w:rPr>
          <w:rFonts w:ascii="仿宋_GB2312" w:hAnsi="仿宋_GB2312" w:eastAsia="仿宋_GB2312" w:cs="仿宋_GB2312"/>
          <w:b/>
          <w:bCs/>
          <w:sz w:val="28"/>
          <w:szCs w:val="28"/>
        </w:rPr>
      </w:pPr>
    </w:p>
    <w:p>
      <w:pPr>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典型意义：</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案事实清楚，各方权利义务明确，但其中被申请人年岁已高，对相关法律问题存在不同理解和意见，面对上述问题，调解员保持了极高的专业度与认真负责的工作态度，多次面对面与当事人耐心沟通，就本案相关事实与法律问题进行细致入微的阐述与解释。同时，本案调解过程中，调解员对双方都强调了</w:t>
      </w:r>
      <w:r>
        <w:rPr>
          <w:rFonts w:ascii="仿宋_GB2312" w:hAnsi="仿宋_GB2312" w:eastAsia="仿宋_GB2312" w:cs="仿宋_GB2312"/>
          <w:bCs/>
          <w:sz w:val="28"/>
          <w:szCs w:val="28"/>
        </w:rPr>
        <w:t>“诚信”原则，这既是当事人履行合同的基本原则，也是化解纠纷的基本原则。通过本案的调解化解，让双方当事人都对此有了深刻认识。</w:t>
      </w:r>
    </w:p>
    <w:p>
      <w:pPr>
        <w:snapToGrid w:val="0"/>
        <w:spacing w:line="560" w:lineRule="exact"/>
        <w:rPr>
          <w:rFonts w:ascii="仿宋_GB2312" w:hAnsi="仿宋_GB2312" w:eastAsia="仿宋_GB2312" w:cs="仿宋_GB2312"/>
          <w:b/>
          <w:bCs/>
          <w:sz w:val="28"/>
          <w:szCs w:val="28"/>
        </w:rPr>
      </w:pPr>
    </w:p>
    <w:p>
      <w:pPr>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专家点评：</w:t>
      </w:r>
    </w:p>
    <w:p>
      <w:pPr>
        <w:snapToGrid w:val="0"/>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该案化解不仅反映了调解员的调解艺术，也表明了调解的力量，能够在维护双方权益的同时，促使纠纷迅速圆满地解决。第一，调解员在调解中换位思考。调解员站在当事人的立场,有助于与当事人顺利沟通，得到对方的信任，使当事人能够考虑调解员的建议。第二，调解员在调解中明析法理。调解员耐心讲明相关法律规定,再辅以类似案例的讲解,当事人就容易接受具有合理性的调解协议。第三，调解员在调解中强调诚信原则。不仅在法律层面上进行专业解释，也在情感层面上帮助双方建立了信任。这种综合性的处理方式有助于缓解双方的对立情绪，为达成共识创造了有利条件。最终，通过双方的妥协和让步，调解员成功地在短时间内解决了纠纷。</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案例作者：长宁区联调委驻区法院人民调解窗口调解员 季立辉</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snapToGrid w:val="0"/>
        <w:spacing w:line="560" w:lineRule="exact"/>
        <w:rPr>
          <w:rFonts w:hint="eastAsia" w:ascii="黑体" w:hAnsi="黑体" w:eastAsia="黑体" w:cs="方正小标宋简体"/>
          <w:bCs/>
          <w:sz w:val="32"/>
          <w:szCs w:val="32"/>
        </w:rPr>
      </w:pPr>
      <w:r>
        <w:rPr>
          <w:rFonts w:hint="eastAsia" w:ascii="黑体" w:hAnsi="黑体" w:eastAsia="黑体" w:cs="方正小标宋简体"/>
          <w:bCs/>
          <w:sz w:val="32"/>
          <w:szCs w:val="32"/>
        </w:rPr>
        <w:t>【案例</w:t>
      </w:r>
      <w:r>
        <w:rPr>
          <w:rFonts w:ascii="黑体" w:hAnsi="黑体" w:eastAsia="黑体" w:cs="方正小标宋简体"/>
          <w:bCs/>
          <w:sz w:val="32"/>
          <w:szCs w:val="32"/>
        </w:rPr>
        <w:t>9</w:t>
      </w:r>
      <w:r>
        <w:rPr>
          <w:rFonts w:hint="eastAsia" w:ascii="黑体" w:hAnsi="黑体" w:eastAsia="黑体" w:cs="方正小标宋简体"/>
          <w:bCs/>
          <w:sz w:val="32"/>
          <w:szCs w:val="32"/>
        </w:rPr>
        <w:t>】</w:t>
      </w:r>
    </w:p>
    <w:p>
      <w:pPr>
        <w:snapToGrid w:val="0"/>
        <w:spacing w:line="560" w:lineRule="exact"/>
        <w:jc w:val="center"/>
        <w:rPr>
          <w:rFonts w:hint="eastAsia" w:ascii="方正小标宋简体" w:hAnsi="方正小标宋简体" w:eastAsia="方正小标宋简体" w:cs="方正小标宋简体"/>
          <w:bCs/>
          <w:sz w:val="32"/>
          <w:szCs w:val="32"/>
        </w:rPr>
      </w:pPr>
    </w:p>
    <w:p>
      <w:pPr>
        <w:snapToGrid w:val="0"/>
        <w:spacing w:line="560" w:lineRule="exact"/>
        <w:jc w:val="center"/>
        <w:rPr>
          <w:rFonts w:ascii="华文中宋" w:hAnsi="华文中宋" w:eastAsia="华文中宋" w:cs="方正小标宋简体"/>
          <w:bCs/>
          <w:sz w:val="32"/>
          <w:szCs w:val="32"/>
        </w:rPr>
      </w:pPr>
      <w:r>
        <w:rPr>
          <w:rFonts w:hint="eastAsia" w:ascii="华文中宋" w:hAnsi="华文中宋" w:eastAsia="华文中宋" w:cs="方正小标宋简体"/>
          <w:bCs/>
          <w:sz w:val="32"/>
          <w:szCs w:val="32"/>
        </w:rPr>
        <w:t xml:space="preserve">以事实为依据提出合理方案 </w:t>
      </w:r>
      <w:r>
        <w:rPr>
          <w:rFonts w:ascii="华文中宋" w:hAnsi="华文中宋" w:eastAsia="华文中宋" w:cs="方正小标宋简体"/>
          <w:bCs/>
          <w:sz w:val="32"/>
          <w:szCs w:val="32"/>
        </w:rPr>
        <w:t xml:space="preserve">  </w:t>
      </w:r>
      <w:r>
        <w:rPr>
          <w:rFonts w:hint="eastAsia" w:ascii="华文中宋" w:hAnsi="华文中宋" w:eastAsia="华文中宋" w:cs="方正小标宋简体"/>
          <w:bCs/>
          <w:sz w:val="32"/>
          <w:szCs w:val="32"/>
        </w:rPr>
        <w:t>以感情为基础化解家庭纠纷</w:t>
      </w:r>
    </w:p>
    <w:p>
      <w:pPr>
        <w:snapToGrid w:val="0"/>
        <w:spacing w:line="560" w:lineRule="exact"/>
        <w:jc w:val="center"/>
        <w:outlineLvl w:val="0"/>
        <w:rPr>
          <w:rFonts w:hint="eastAsia" w:ascii="宋体" w:hAnsi="宋体" w:cs="方正小标宋简体"/>
          <w:bCs/>
          <w:sz w:val="32"/>
          <w:szCs w:val="32"/>
        </w:rPr>
      </w:pPr>
      <w:bookmarkStart w:id="7" w:name="_Toc11652"/>
      <w:r>
        <w:rPr>
          <w:rFonts w:hint="eastAsia" w:ascii="宋体" w:hAnsi="宋体" w:cs="方正小标宋简体"/>
          <w:bCs/>
          <w:sz w:val="32"/>
          <w:szCs w:val="32"/>
        </w:rPr>
        <w:t>——盛某等人与严某抚育费纠纷案</w:t>
      </w:r>
      <w:bookmarkEnd w:id="7"/>
    </w:p>
    <w:p>
      <w:pPr>
        <w:snapToGrid w:val="0"/>
        <w:spacing w:line="560" w:lineRule="exact"/>
        <w:rPr>
          <w:rFonts w:hint="eastAsia" w:ascii="仿宋_GB2312" w:hAnsi="仿宋_GB2312" w:eastAsia="仿宋_GB2312" w:cs="仿宋_GB2312"/>
          <w:b/>
          <w:sz w:val="28"/>
          <w:szCs w:val="28"/>
        </w:rPr>
      </w:pPr>
    </w:p>
    <w:p>
      <w:pPr>
        <w:snapToGrid w:val="0"/>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案情简介：</w:t>
      </w:r>
    </w:p>
    <w:p>
      <w:pPr>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严某甲、盛某甲是两兄弟。两人的父亲严某、母亲盛某婚后于2011年10月生下长子严某甲，2015年9月生下次子盛某甲。婚后双方感情尚可。2017年2月，双方协议离婚。严某协议书约定，两个儿子的抚养权归母亲盛某，父亲严某每月给付两个儿子抚育费合计人民币5000元。</w:t>
      </w:r>
    </w:p>
    <w:p>
      <w:pPr>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离婚后，严某、盛某还保持男女朋友关系，两个儿子随母亲盛某共同生活，严某时常会去盛某住处与前妻及儿子相聚。2018年9月，严某甲上小学，因学校离父亲住处近，就随父亲严某共同生活，双休日、节假日、寒暑假去母亲盛某处。经济上，严某和盛某也互有往来。</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离婚后，严某没有按照离婚协议支付儿子抚育费。2022年12月，因严某交往了新女友，双方终止男女朋友关系，盛某便向严某主张两个儿子的抚育费。盛某作为两个儿子的法定代理人向法院提起诉讼，要求严某补付2017年2月起的抚育费共计人民币25万元。严某则抗辩称，离婚后向盛某共转账人民币28万元，且长子严某甲2018年9月后随自己共同生活，学费、补课费都由自己支付，只是周末去母亲那里跟盛某甲玩，故不同意补付抚育费。</w:t>
      </w:r>
      <w:r>
        <w:rPr>
          <w:rFonts w:hint="eastAsia" w:ascii="仿宋_GB2312" w:hAnsi="仿宋_GB2312" w:eastAsia="仿宋_GB2312" w:cs="仿宋_GB2312"/>
          <w:sz w:val="28"/>
          <w:szCs w:val="28"/>
        </w:rPr>
        <w:t xml:space="preserve"> </w:t>
      </w:r>
    </w:p>
    <w:p>
      <w:pPr>
        <w:snapToGrid w:val="0"/>
        <w:spacing w:line="560" w:lineRule="exact"/>
        <w:rPr>
          <w:rFonts w:hint="eastAsia" w:ascii="仿宋_GB2312" w:hAnsi="仿宋_GB2312" w:eastAsia="仿宋_GB2312" w:cs="仿宋_GB2312"/>
          <w:b/>
          <w:sz w:val="28"/>
          <w:szCs w:val="28"/>
        </w:rPr>
      </w:pPr>
    </w:p>
    <w:p>
      <w:pPr>
        <w:snapToGrid w:val="0"/>
        <w:spacing w:line="56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调解经过：</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调解员收案后，先与严某进行电话沟通，听取他的意见。</w:t>
      </w:r>
      <w:r>
        <w:rPr>
          <w:rFonts w:hint="eastAsia" w:ascii="仿宋_GB2312" w:hAnsi="仿宋_GB2312" w:eastAsia="仿宋_GB2312" w:cs="仿宋_GB2312"/>
          <w:bCs/>
          <w:sz w:val="28"/>
          <w:szCs w:val="28"/>
        </w:rPr>
        <w:t>严某称，真实的离婚原因是盛某于2015年起开始赌博，每月要还高利贷，严某得知后，双方便协议离婚。</w:t>
      </w:r>
      <w:r>
        <w:rPr>
          <w:rFonts w:hint="eastAsia" w:ascii="仿宋_GB2312" w:hAnsi="仿宋_GB2312" w:eastAsia="仿宋_GB2312" w:cs="仿宋_GB2312"/>
          <w:sz w:val="28"/>
          <w:szCs w:val="28"/>
        </w:rPr>
        <w:t>严某同时表示，申请人诉状所述内容不实，离婚后他多次转账给盛某钱款，足以抵消儿子的抚育费。调解员要求其整理好转账凭证，作为调解时的证据材料。召集双方调解时，盛某本人没有到场，其代理律师表示，不认可严某提出的离婚原因，认可双方离婚后仍保持男女朋友关系，由于严某有了新女友，双方关系终止，并提出，离婚后盛某也多次转账给严某。至于转账数额，双方说法不一。调解员决定给双方十个工作日时间核对转账情况。</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严某将转账记录整理好后发给盛某律师，律师将每次双方名下的转账明细制作成表格。经核对，双方离婚后，盛某给严某微信转账共计22896</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.68元，严某给盛某转账共计人民币223540元。由于双方转账的钱款数额相当，调解员拟定初步调解方案，严某补付两个儿子2017年2月至2018年9月的抚育费95000元。2018年9月后双方各抚养一个孩子，互不支付抚育费。</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次调解时，盛某仍没有到场，当调解员将调解方案提出时，双方出庭人员都表示可以接受，盛某律师提出要跟盛某本人打电话，听取她的意见。然而盛某表示不同意该方案，要求小儿子盛某甲的抚育费补付到调解时。调解陷入僵局，这时，调解员提出跟盛某直接电话沟通，再次经过一通释法及入情入理的交流，调解员表示再和严某沟通，尽量为两个孩子多争取一些，盛某同意调解员的方案。</w:t>
      </w:r>
    </w:p>
    <w:p>
      <w:pPr>
        <w:snapToGrid w:val="0"/>
        <w:spacing w:line="560" w:lineRule="exact"/>
        <w:ind w:firstLine="56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最终双方达成一致，严某补付严某甲及盛某甲自2017年2月至2018年8月的抚育费共计130000元。回访时双方当事人向调解员再三表示感谢。</w:t>
      </w:r>
    </w:p>
    <w:p>
      <w:pPr>
        <w:snapToGrid w:val="0"/>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典型意义：</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案调解过程中调解员没有贸然调解，而是先行查明事实，为成功调解打下基础，进而提出了合情、合理、合法的调解方案，同时把握调解艺术，晓之以理，动之以情，让当事人产生法理情的共鸣，促成案件圆满结案，切实维护了妇女儿童的合法权益。</w:t>
      </w:r>
    </w:p>
    <w:p>
      <w:pPr>
        <w:snapToGrid w:val="0"/>
        <w:spacing w:line="560" w:lineRule="exact"/>
        <w:rPr>
          <w:rFonts w:hint="eastAsia" w:ascii="仿宋_GB2312" w:hAnsi="仿宋_GB2312" w:eastAsia="仿宋_GB2312" w:cs="仿宋_GB2312"/>
          <w:sz w:val="28"/>
          <w:szCs w:val="28"/>
        </w:rPr>
      </w:pPr>
    </w:p>
    <w:p>
      <w:pPr>
        <w:snapToGrid w:val="0"/>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专家点评：</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调解员基于事实提出调解方案，易为当事人所接受。孩子实际和哪方共同生活及双方互相转账金额基本决定了抚育费的补付方案。第二，在调解陷入僵局时，调解员采取换位思考法。从自己也是母亲的角度，认可原告对孩子的付出和感情精力投入，让原告感受到了情感支持，为推进调解打下了基础。同时，也让被告从原告的角度考虑问题，理解原告为孩子在经济和精神上付出较多，从而同意增加抚育费，最终达成调解协议。总之，本案充分体现了以事实为依据与以情感为依托的调解策略，比较适合家事纠纷的解决。</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案例作者：长宁区婚姻家庭纠纷人民调解委员会调解员 王俊</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br w:type="page"/>
      </w:r>
    </w:p>
    <w:p>
      <w:pPr>
        <w:snapToGrid w:val="0"/>
        <w:spacing w:line="560" w:lineRule="exact"/>
        <w:rPr>
          <w:rFonts w:hint="eastAsia" w:ascii="黑体" w:hAnsi="黑体" w:eastAsia="黑体" w:cs="方正小标宋简体"/>
          <w:bCs/>
          <w:sz w:val="32"/>
          <w:szCs w:val="32"/>
        </w:rPr>
      </w:pPr>
      <w:r>
        <w:rPr>
          <w:rFonts w:hint="eastAsia" w:ascii="黑体" w:hAnsi="黑体" w:eastAsia="黑体" w:cs="方正小标宋简体"/>
          <w:bCs/>
          <w:sz w:val="32"/>
          <w:szCs w:val="32"/>
        </w:rPr>
        <w:t>【案例10】</w:t>
      </w:r>
    </w:p>
    <w:p>
      <w:pPr>
        <w:rPr>
          <w:sz w:val="28"/>
          <w:szCs w:val="36"/>
        </w:rPr>
      </w:pPr>
    </w:p>
    <w:p>
      <w:pPr>
        <w:snapToGrid w:val="0"/>
        <w:spacing w:line="560" w:lineRule="exact"/>
        <w:jc w:val="center"/>
        <w:outlineLvl w:val="0"/>
        <w:rPr>
          <w:rFonts w:hint="eastAsia" w:ascii="华文中宋" w:hAnsi="华文中宋" w:eastAsia="华文中宋" w:cs="方正小标宋简体"/>
          <w:bCs/>
          <w:sz w:val="32"/>
          <w:szCs w:val="32"/>
        </w:rPr>
      </w:pPr>
      <w:bookmarkStart w:id="8" w:name="_Toc23412"/>
      <w:r>
        <w:rPr>
          <w:rFonts w:hint="eastAsia" w:ascii="华文中宋" w:hAnsi="华文中宋" w:eastAsia="华文中宋" w:cs="方正小标宋简体"/>
          <w:bCs/>
          <w:sz w:val="32"/>
          <w:szCs w:val="32"/>
        </w:rPr>
        <w:t>以诉讼思维调解遗产继承纠纷保障各方利益</w:t>
      </w:r>
      <w:bookmarkEnd w:id="8"/>
    </w:p>
    <w:p>
      <w:pPr>
        <w:snapToGrid w:val="0"/>
        <w:spacing w:line="560" w:lineRule="exact"/>
        <w:jc w:val="center"/>
        <w:outlineLvl w:val="0"/>
        <w:rPr>
          <w:rFonts w:hint="eastAsia" w:ascii="华文中宋" w:hAnsi="华文中宋" w:eastAsia="华文中宋" w:cs="方正小标宋简体"/>
          <w:b w:val="0"/>
          <w:bCs/>
          <w:sz w:val="32"/>
          <w:szCs w:val="32"/>
        </w:rPr>
      </w:pPr>
      <w:bookmarkStart w:id="9" w:name="_Toc21966"/>
      <w:r>
        <w:rPr>
          <w:rFonts w:hint="eastAsia" w:ascii="华文中宋" w:hAnsi="华文中宋" w:eastAsia="华文中宋" w:cs="方正小标宋简体"/>
          <w:b w:val="0"/>
          <w:bCs/>
          <w:sz w:val="32"/>
          <w:szCs w:val="32"/>
        </w:rPr>
        <w:t>——孙某某等与汤某三等法定继承纠纷案</w:t>
      </w:r>
      <w:bookmarkEnd w:id="9"/>
    </w:p>
    <w:p>
      <w:pPr>
        <w:rPr>
          <w:sz w:val="28"/>
          <w:szCs w:val="36"/>
        </w:rPr>
      </w:pPr>
    </w:p>
    <w:p>
      <w:pPr>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案情简介：</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11月，原告孙某某和女儿汤某女向法院起诉被告汤某三、汤某四、汤某五、汤某六、汤某七，要求继承被继承人汤某一名下一处房产。原告是被继承人汤某一的妻子和女儿。被告汤某三、汤某四、汤某五是被继承人弟弟，汤某六是被继承人的妹妹，汤某七是被继承人弟弟汤某二的女儿。</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继承人汤某一的父亲汤某生于1918年4月，于2001年1月去世。被继承人的母亲杨某生于1922年5月，于2022年9月去世。汤某一生于1944年11月，于2001年1月去世。汤某一于2001年去世时,汤家一直隐瞒了消息，汤某一的遗产一直没有办理分割继承。汤某二于2014年2月7日去世。汤某二生前有过两次婚姻，均离异，去世前是单身。汤某二的第一次婚姻，与案外人唐某某共同生育一女即被告汤某七。汤某二的第二次婚姻与案外人王某某没有共同生育子女。以上去世的汤家人，去世时都没有留下遗嘱。</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调解经过：</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孙某某和汤某女起诉后，主动要求调解，言明所有当事人都一致同意调解，而且意见统一，均同意放弃继承汤某一名下的房产，由汤某一的女儿汤某女一人继承且每人都写好了放弃继承声明书。</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快速调解更需要依法调解，调解员收到案件后首先分别电话联系所有当事人；其次迅速梳理案卷材料，因为涉案的当事人家族共有三代人，人员众多，并且涉及到转继承和代位继承，做好清晰的人物表格图能够便于分析案情。</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告汤某四提出他本人常年居住在重庆，认为自己跟本案继承无关，写好了放弃继承的承诺书。调解员向汤某四阐明，被继承人汤某一的第一顺序继承人中，其母亲杨某在汤某去世后才死亡，所以属于杨某的继承份额，应由他的子女继承，即汤某女的叔叔和小姑都是继承人之一，他们全部明确表示放弃，还需要本人到场表态并在调解书上签字。汤某女父亲汤某一去世后，他家人为了怕杨某伤心，一直对她隐瞒了长子去世的消息，所以汤某一的房产一直没有办理继承。经调解员释明，汤某四和妻子一起提前来到法院，在法官面前全权委托弟弟汤某五作为他参与诉讼的代理人，并且在法官面前书写了放弃继承声明书，做好笔录。</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汤某七作为汤某二的唯一继承人，代位继承汤某二的遗产份额，她提供了她母亲和汤某二的离婚调解书，独生子女证。然而汤某二第二次婚姻的材料，汤家只提供了一张民政局的离婚证复印件。调解员认为汤某二的亲属关系证据不足，要求汤家进一步补充汤某二的再婚材料，婚姻状况和离婚协议书。调解员向汤某女阐明道理，劝导告知继承案件是不能遗漏一个当事人的。汤某女向调解员提供了王某某的电话，调解中王某某告诉调解员，她与汤某二于1994年6月再婚，汤某二离异带着汤某七，她丧偶带着儿子王某四人组织了家庭，他们婚后没有再生育子女，2011年自愿到民政局协议离婚，离婚协议书上写明再婚后无子女，无共同财产和共同债务。调解员晓之以理，动之以情，王某是否是汤某二的继子，有无继承权还需确定，所以请王某某配合提供其结婚离婚材料和儿子王某的材料。根据王某某提供的材料，儿子王某是1977年出生的，和汤某二再婚的时候，王某只有17岁，正在读高中，没有独立生活能力，所以王某是汤某二有抚养关系的继子，有继承权。经过调解员的耐心疏导，王某某同意和王某一起来法院做笔录。</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经过全面梳理确认，各方达成调解协议，被继承人汤某一的房产其中二分之一产权份额归孙某某所有，另二分之一产权份额由汤某女继承所有，其他当事人应配合孙某某、汤某女办理上述房屋产权变更手续。</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典型意义:</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解继承案件最重要的是不能遗漏继承人，继承人范围的确定不能仅根据当事人的自身确认，必须要有确凿的证据予以佐证。即便是当事人急于要求调解，调解员也要做到仔细审查，不能疏忽。本案调解员为了使汤家人能顺利的继承遗产，不厌其烦、不急不燥，一而再再而三的核对每一份证据材料，查明案件事实。调解过程中，急人所急，忧人所忧，尽量为当事人提供方便，一波三折的分家析产法定继承纠纷案终于顺利圆满的化解。</w:t>
      </w:r>
    </w:p>
    <w:p>
      <w:pPr>
        <w:snapToGrid w:val="0"/>
        <w:spacing w:line="560" w:lineRule="exact"/>
        <w:ind w:firstLine="560" w:firstLineChars="200"/>
        <w:rPr>
          <w:rFonts w:hint="eastAsia" w:ascii="仿宋_GB2312" w:hAnsi="仿宋_GB2312" w:eastAsia="仿宋_GB2312" w:cs="仿宋_GB2312"/>
          <w:sz w:val="28"/>
          <w:szCs w:val="28"/>
        </w:rPr>
      </w:pPr>
    </w:p>
    <w:p>
      <w:pPr>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专家点评：</w:t>
      </w:r>
    </w:p>
    <w:p>
      <w:pPr>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着我国老龄化日益严重，继承纠纷已成为家事纠纷的重要板块。如若不能充分掌握法定继承人之间的复杂关系，就无法保护相关主体的合法权益。在本案中，调解员将相关利益关系告知案中的各法定继承人，并不厌其烦地查明纠纷中各部分存在的疑难信息，尽职尽责地劝导各财产继承人前往法院补充材料或笔录，真正做到了对具有遗产继承资格的每一方负责。因此，本案在调解方面的主要经验是：第一，明晰亲属关系，不遗漏每一个继承人。第二，寻求更高效力的证据。第三，从法律角度，理清权利义务关系，实现了纠纷的一揽子解决。</w:t>
      </w:r>
    </w:p>
    <w:p>
      <w:pPr>
        <w:rPr>
          <w:sz w:val="28"/>
          <w:szCs w:val="36"/>
        </w:rPr>
      </w:pP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案例作者：长宁区联调委驻区法院人民调解窗口 朱 玲</w:t>
      </w:r>
    </w:p>
    <w:p>
      <w:pPr>
        <w:rPr>
          <w:rFonts w:hint="eastAsia" w:ascii="华文楷体" w:hAnsi="华文楷体" w:eastAsia="华文楷体" w:cs="华文楷体"/>
          <w:sz w:val="28"/>
          <w:szCs w:val="36"/>
        </w:rPr>
      </w:pPr>
      <w:r>
        <w:rPr>
          <w:rFonts w:hint="eastAsia" w:ascii="华文楷体" w:hAnsi="华文楷体" w:eastAsia="华文楷体" w:cs="华文楷体"/>
          <w:sz w:val="28"/>
          <w:szCs w:val="36"/>
        </w:rPr>
        <w:t>点评专家：华东政法大学教授 李俊</w:t>
      </w:r>
    </w:p>
    <w:p>
      <w:pPr>
        <w:rPr>
          <w:rFonts w:hint="eastAsia" w:ascii="华文楷体" w:hAnsi="华文楷体" w:eastAsia="华文楷体" w:cs="华文楷体"/>
          <w:sz w:val="28"/>
          <w:szCs w:val="36"/>
        </w:rPr>
      </w:pPr>
    </w:p>
    <w:p>
      <w:pPr>
        <w:rPr>
          <w:rFonts w:hint="eastAsia" w:ascii="华文楷体" w:hAnsi="华文楷体" w:eastAsia="华文楷体" w:cs="华文楷体"/>
          <w:sz w:val="28"/>
          <w:szCs w:val="36"/>
        </w:rPr>
      </w:pPr>
    </w:p>
    <w:p>
      <w:pPr>
        <w:spacing w:line="360" w:lineRule="auto"/>
        <w:rPr>
          <w:rFonts w:hint="eastAsia" w:ascii="仿宋" w:hAnsi="仿宋" w:eastAsia="仿宋"/>
          <w:sz w:val="28"/>
          <w:szCs w:val="28"/>
        </w:rPr>
      </w:pPr>
    </w:p>
    <w:p>
      <w:pPr>
        <w:rPr>
          <w:rFonts w:hint="eastAsia" w:ascii="华文楷体" w:hAnsi="华文楷体" w:eastAsia="华文楷体" w:cs="华文楷体"/>
          <w:sz w:val="28"/>
          <w:szCs w:val="36"/>
        </w:rPr>
      </w:pPr>
    </w:p>
    <w:p>
      <w:pPr>
        <w:spacing w:line="360" w:lineRule="auto"/>
        <w:ind w:firstLine="560" w:firstLineChars="200"/>
        <w:jc w:val="left"/>
        <w:rPr>
          <w:rFonts w:hint="eastAsia"/>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阿里巴巴普惠体 H">
    <w:panose1 w:val="00020600040101010101"/>
    <w:charset w:val="86"/>
    <w:family w:val="auto"/>
    <w:pitch w:val="default"/>
    <w:sig w:usb0="A00002FF" w:usb1="4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大黑体_GBK">
    <w:panose1 w:val="02010600010101010101"/>
    <w:charset w:val="86"/>
    <w:family w:val="auto"/>
    <w:pitch w:val="default"/>
    <w:sig w:usb0="00000001" w:usb1="080E0000" w:usb2="00000000" w:usb3="00000000" w:csb0="4004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YjJmOTA1MTQzZDAyYzYzODAxODVjNDNjNjMxODEifQ=="/>
  </w:docVars>
  <w:rsids>
    <w:rsidRoot w:val="38AA490A"/>
    <w:rsid w:val="1EE01DD0"/>
    <w:rsid w:val="38AA490A"/>
    <w:rsid w:val="3FFB4CC3"/>
    <w:rsid w:val="50FC206C"/>
    <w:rsid w:val="518A0215"/>
    <w:rsid w:val="546F2F29"/>
    <w:rsid w:val="72BF7FDD"/>
    <w:rsid w:val="76124539"/>
    <w:rsid w:val="7865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customStyle="1" w:styleId="5">
    <w:name w:val="msg-list__item"/>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2023-11-27T10:41:00Z</dcterms:created>
  <dc:creator>独钓寒江</dc:creator>
  <cp:lastModifiedBy>独钓寒江</cp:lastModifiedBy>
  <dcterms:modified xsi:type="dcterms:W3CDTF">2023-11-29T02:51:43Z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73FA828D7D824678BD7625BDB50B57C4_13</vt:lpwstr>
  </property>
</Properties>
</file>