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55A77">
      <w:pPr>
        <w:pStyle w:val="7"/>
        <w:spacing w:beforeLines="0" w:afterLines="0"/>
        <w:jc w:val="center"/>
        <w:rPr>
          <w:rFonts w:hint="eastAsia" w:ascii="方正大黑_GBK" w:hAnsi="方正大黑_GBK" w:eastAsia="方正大黑_GBK"/>
          <w:color w:val="595757"/>
          <w:sz w:val="60"/>
          <w:szCs w:val="24"/>
        </w:rPr>
      </w:pPr>
      <w:bookmarkStart w:id="0" w:name="_GoBack"/>
      <w:bookmarkEnd w:id="0"/>
      <w:r>
        <w:rPr>
          <w:rFonts w:hint="eastAsia" w:ascii="方正大黑_GBK" w:hAnsi="方正大黑_GBK" w:eastAsia="方正大黑_GBK"/>
          <w:color w:val="595757"/>
          <w:sz w:val="60"/>
          <w:szCs w:val="24"/>
        </w:rPr>
        <w:t>目</w:t>
      </w:r>
      <w:r>
        <w:rPr>
          <w:rFonts w:hint="eastAsia" w:ascii="方正大黑_GBK" w:hAnsi="方正大黑_GBK" w:eastAsia="方正大黑_GBK"/>
          <w:color w:val="595757"/>
          <w:sz w:val="60"/>
          <w:szCs w:val="24"/>
          <w:lang w:val="en-US" w:eastAsia="zh-CN"/>
        </w:rPr>
        <w:t xml:space="preserve"> </w:t>
      </w:r>
      <w:r>
        <w:rPr>
          <w:rFonts w:hint="eastAsia" w:ascii="方正大黑_GBK" w:hAnsi="方正大黑_GBK" w:eastAsia="方正大黑_GBK"/>
          <w:color w:val="595757"/>
          <w:sz w:val="60"/>
          <w:szCs w:val="24"/>
        </w:rPr>
        <w:t>录</w:t>
      </w:r>
    </w:p>
    <w:p w14:paraId="180E6F01">
      <w:pPr>
        <w:pStyle w:val="7"/>
        <w:spacing w:beforeLines="0" w:afterLines="0"/>
        <w:rPr>
          <w:rFonts w:hint="eastAsia" w:ascii="方正大黑_GBK" w:hAnsi="方正大黑_GBK" w:eastAsia="方正大黑_GBK"/>
          <w:color w:val="595757"/>
          <w:sz w:val="60"/>
          <w:szCs w:val="24"/>
        </w:rPr>
      </w:pPr>
    </w:p>
    <w:p w14:paraId="45A1A867">
      <w:pPr>
        <w:pStyle w:val="7"/>
        <w:spacing w:beforeLines="0" w:afterLines="0"/>
        <w:rPr>
          <w:rFonts w:hint="eastAsia" w:ascii="方正书宋_GBK" w:hAnsi="方正书宋_GBK" w:eastAsia="方正书宋_GBK"/>
          <w:sz w:val="28"/>
          <w:szCs w:val="24"/>
        </w:rPr>
      </w:pPr>
      <w:r>
        <w:rPr>
          <w:rFonts w:hint="eastAsia" w:ascii="方正黑体_GBK" w:hAnsi="方正黑体_GBK" w:eastAsia="方正黑体_GBK"/>
          <w:color w:val="185AA7"/>
          <w:sz w:val="28"/>
          <w:szCs w:val="24"/>
        </w:rPr>
        <w:t>引 言</w:t>
      </w:r>
    </w:p>
    <w:p w14:paraId="012A7701">
      <w:pPr>
        <w:pStyle w:val="7"/>
        <w:spacing w:beforeLines="0" w:afterLines="0"/>
        <w:rPr>
          <w:rFonts w:hint="eastAsia" w:ascii="方正黑体_GBK" w:hAnsi="方正黑体_GBK" w:eastAsia="方正黑体_GBK"/>
          <w:color w:val="185AA7"/>
          <w:sz w:val="28"/>
          <w:szCs w:val="24"/>
        </w:rPr>
      </w:pPr>
      <w:r>
        <w:rPr>
          <w:rFonts w:hint="eastAsia" w:ascii="方正黑体_GBK" w:hAnsi="方正黑体_GBK" w:eastAsia="方正黑体_GBK"/>
          <w:color w:val="185AA7"/>
          <w:sz w:val="28"/>
          <w:szCs w:val="24"/>
        </w:rPr>
        <w:t>一、涉外商投资企业商事案件基本情况</w:t>
      </w:r>
    </w:p>
    <w:p w14:paraId="02B224D3">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（一）案件总体呈现稳中趋升</w:t>
      </w:r>
    </w:p>
    <w:p w14:paraId="2B2605A2">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（二）纠纷类型成因相对集中</w:t>
      </w:r>
    </w:p>
    <w:p w14:paraId="5398B626">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（三）投资主体分布较为广泛</w:t>
      </w:r>
    </w:p>
    <w:p w14:paraId="656BEB70">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（四）案件标的金额总体较高</w:t>
      </w:r>
    </w:p>
    <w:p w14:paraId="352215A5">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（五）商事调解解纷成效突出</w:t>
      </w:r>
    </w:p>
    <w:p w14:paraId="4FA0CD05">
      <w:pPr>
        <w:pStyle w:val="7"/>
        <w:spacing w:beforeLines="0" w:afterLines="0"/>
        <w:rPr>
          <w:rFonts w:hint="eastAsia" w:ascii="方正黑体_GBK" w:hAnsi="方正黑体_GBK" w:eastAsia="方正黑体_GBK"/>
          <w:color w:val="185AA7"/>
          <w:sz w:val="28"/>
          <w:szCs w:val="24"/>
        </w:rPr>
      </w:pPr>
      <w:r>
        <w:rPr>
          <w:rFonts w:hint="eastAsia" w:ascii="方正黑体_GBK" w:hAnsi="方正黑体_GBK" w:eastAsia="方正黑体_GBK"/>
          <w:color w:val="185AA7"/>
          <w:sz w:val="28"/>
          <w:szCs w:val="24"/>
        </w:rPr>
        <w:t>二、涉外商投资企业商事案件主要特征</w:t>
      </w:r>
    </w:p>
    <w:p w14:paraId="1C9EF4C3">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（一）涉诉企业外资成分增加，投资领域不断扩大</w:t>
      </w:r>
    </w:p>
    <w:p w14:paraId="59FB9FDC">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（二）服务贸易纠纷形态多元，争议事项更为繁杂</w:t>
      </w:r>
    </w:p>
    <w:p w14:paraId="45B1186E">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（三）企业转型决议纠纷渐显，组织转型压力增大</w:t>
      </w:r>
    </w:p>
    <w:p w14:paraId="533CD99D">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（四）董监高履职进一步规范，履职风险亟待重视</w:t>
      </w:r>
    </w:p>
    <w:p w14:paraId="3E430540">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（五）企业管理模式日益复杂，股权激励兑现较难</w:t>
      </w:r>
    </w:p>
    <w:p w14:paraId="48C5E7D4">
      <w:pPr>
        <w:pStyle w:val="7"/>
        <w:spacing w:beforeLines="0" w:afterLines="0"/>
        <w:rPr>
          <w:rFonts w:hint="eastAsia" w:ascii="方正黑体_GBK" w:hAnsi="方正黑体_GBK" w:eastAsia="方正黑体_GBK"/>
          <w:color w:val="185AA7"/>
          <w:sz w:val="28"/>
          <w:szCs w:val="24"/>
        </w:rPr>
      </w:pPr>
      <w:r>
        <w:rPr>
          <w:rFonts w:hint="eastAsia" w:ascii="方正黑体_GBK" w:hAnsi="方正黑体_GBK" w:eastAsia="方正黑体_GBK"/>
          <w:color w:val="185AA7"/>
          <w:sz w:val="28"/>
          <w:szCs w:val="24"/>
        </w:rPr>
        <w:t>三、服务保障高水平对外开放工作举措</w:t>
      </w:r>
    </w:p>
    <w:p w14:paraId="544B8C78">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（一）提升工作站位，建立服务保障长效机制</w:t>
      </w:r>
    </w:p>
    <w:p w14:paraId="324A93A3">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（二）创新审判机制，推动定分止争职能发挥</w:t>
      </w:r>
    </w:p>
    <w:p w14:paraId="08C13D16">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（三）聚集数字赋能，提升司法服务精度水平</w:t>
      </w:r>
    </w:p>
    <w:p w14:paraId="703F3D28">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（四）优化解纷效能，助力一流营商环境建设</w:t>
      </w:r>
    </w:p>
    <w:p w14:paraId="05A4E4C8">
      <w:pPr>
        <w:pStyle w:val="7"/>
        <w:spacing w:beforeLines="0" w:afterLines="0"/>
        <w:rPr>
          <w:rFonts w:hint="eastAsia" w:ascii="方正黑体_GBK" w:hAnsi="方正黑体_GBK" w:eastAsia="方正黑体_GBK"/>
          <w:color w:val="185AA7"/>
          <w:sz w:val="28"/>
          <w:szCs w:val="24"/>
        </w:rPr>
      </w:pPr>
      <w:r>
        <w:rPr>
          <w:rFonts w:hint="eastAsia" w:ascii="方正黑体_GBK" w:hAnsi="方正黑体_GBK" w:eastAsia="方正黑体_GBK"/>
          <w:color w:val="185AA7"/>
          <w:sz w:val="28"/>
          <w:szCs w:val="24"/>
        </w:rPr>
        <w:t>四、涉外商投资企业权益保护法律提示</w:t>
      </w:r>
    </w:p>
    <w:p w14:paraId="5BEF463C">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（一）公司经营管理法律提示</w:t>
      </w:r>
    </w:p>
    <w:p w14:paraId="3D529B1C">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1.经营范围问题</w:t>
      </w:r>
    </w:p>
    <w:p w14:paraId="74765505">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2.股东资格问题</w:t>
      </w:r>
    </w:p>
    <w:p w14:paraId="6D171896">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3.股权激励问题</w:t>
      </w:r>
    </w:p>
    <w:p w14:paraId="311DE033">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4.组织转型问题</w:t>
      </w:r>
    </w:p>
    <w:p w14:paraId="644A7B8F">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（二）公司市场交易法律提示</w:t>
      </w:r>
    </w:p>
    <w:p w14:paraId="74F6A73E">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1.合同订立问题</w:t>
      </w:r>
    </w:p>
    <w:p w14:paraId="29D2A3AA">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2.合同履行问题</w:t>
      </w:r>
    </w:p>
    <w:p w14:paraId="1A53539C">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3.合同救济问题</w:t>
      </w:r>
    </w:p>
    <w:p w14:paraId="2867AACF">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（三）诉讼程序事项法律提示</w:t>
      </w:r>
    </w:p>
    <w:p w14:paraId="73906DD7">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1.纠纷管辖问题</w:t>
      </w:r>
    </w:p>
    <w:p w14:paraId="759C1DA1">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2.文书送达问题</w:t>
      </w:r>
    </w:p>
    <w:p w14:paraId="6886FC2A">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3.公证认证问题</w:t>
      </w:r>
    </w:p>
    <w:p w14:paraId="60031003">
      <w:pPr>
        <w:pStyle w:val="7"/>
        <w:spacing w:beforeLines="0" w:afterLines="0"/>
        <w:rPr>
          <w:rFonts w:hint="eastAsia" w:ascii="方正大黑_GBK" w:hAnsi="方正大黑_GBK" w:eastAsia="方正大黑_GBK"/>
          <w:color w:val="595757"/>
          <w:sz w:val="60"/>
          <w:szCs w:val="24"/>
        </w:rPr>
      </w:pPr>
      <w:r>
        <w:rPr>
          <w:rFonts w:hint="eastAsia" w:ascii="方正黑体_GBK" w:hAnsi="方正黑体_GBK" w:eastAsia="方正黑体_GBK"/>
          <w:color w:val="185AA7"/>
          <w:sz w:val="28"/>
          <w:szCs w:val="24"/>
        </w:rPr>
        <w:t>结 语</w:t>
      </w:r>
    </w:p>
    <w:p w14:paraId="5688D144">
      <w:pPr>
        <w:rPr>
          <w:rFonts w:hint="eastAsia" w:ascii="方正黑体_GBK" w:hAnsi="方正黑体_GBK" w:eastAsia="方正黑体_GBK"/>
          <w:sz w:val="36"/>
          <w:szCs w:val="24"/>
        </w:rPr>
      </w:pPr>
      <w:r>
        <w:rPr>
          <w:rFonts w:hint="eastAsia" w:ascii="方正黑体_GBK" w:hAnsi="方正黑体_GBK" w:eastAsia="方正黑体_GBK"/>
          <w:sz w:val="36"/>
          <w:szCs w:val="24"/>
        </w:rPr>
        <w:br w:type="page"/>
      </w:r>
    </w:p>
    <w:p w14:paraId="652D7A03">
      <w:pPr>
        <w:rPr>
          <w:rFonts w:hint="eastAsia" w:ascii="方正黑体_GBK" w:hAnsi="方正黑体_GBK" w:eastAsia="方正黑体_GBK"/>
          <w:sz w:val="36"/>
          <w:szCs w:val="24"/>
        </w:rPr>
        <w:sectPr>
          <w:footerReference r:id="rId3" w:type="default"/>
          <w:pgSz w:w="11906" w:h="16838"/>
          <w:pgMar w:top="1134" w:right="1134" w:bottom="1134" w:left="1134" w:header="720" w:footer="720" w:gutter="0"/>
          <w:lnNumType w:countBy="0" w:distance="360"/>
          <w:cols w:space="720" w:num="1"/>
          <w:docGrid w:type="lines" w:linePitch="312" w:charSpace="0"/>
        </w:sectPr>
      </w:pPr>
    </w:p>
    <w:p w14:paraId="5912DADA">
      <w:pPr>
        <w:rPr>
          <w:rFonts w:hint="eastAsia" w:ascii="方正黑体_GBK" w:hAnsi="方正黑体_GBK" w:eastAsia="方正黑体_GBK"/>
          <w:sz w:val="36"/>
          <w:szCs w:val="24"/>
        </w:rPr>
      </w:pPr>
    </w:p>
    <w:p w14:paraId="67803E62">
      <w:pPr>
        <w:pStyle w:val="7"/>
        <w:spacing w:beforeLines="0" w:afterLines="0"/>
        <w:jc w:val="center"/>
        <w:rPr>
          <w:rFonts w:hint="eastAsia" w:ascii="方正黑体_GBK" w:hAnsi="方正黑体_GBK" w:eastAsia="方正黑体_GBK"/>
          <w:sz w:val="36"/>
          <w:szCs w:val="24"/>
        </w:rPr>
      </w:pPr>
    </w:p>
    <w:p w14:paraId="2FE8D7D3">
      <w:pPr>
        <w:pStyle w:val="7"/>
        <w:spacing w:beforeLines="0" w:afterLines="0"/>
        <w:jc w:val="center"/>
        <w:rPr>
          <w:rFonts w:hint="eastAsia" w:ascii="方正黑体_GBK" w:hAnsi="方正黑体_GBK" w:eastAsia="方正黑体_GBK"/>
          <w:sz w:val="36"/>
          <w:szCs w:val="24"/>
        </w:rPr>
      </w:pPr>
      <w:r>
        <w:rPr>
          <w:rFonts w:hint="eastAsia" w:ascii="方正黑体_GBK" w:hAnsi="方正黑体_GBK" w:eastAsia="方正黑体_GBK"/>
          <w:sz w:val="36"/>
          <w:szCs w:val="24"/>
        </w:rPr>
        <w:t>引   言</w:t>
      </w:r>
    </w:p>
    <w:p w14:paraId="5DBC9DC8">
      <w:pPr>
        <w:pStyle w:val="7"/>
        <w:spacing w:beforeLines="0" w:afterLines="0"/>
        <w:jc w:val="center"/>
        <w:rPr>
          <w:rFonts w:hint="eastAsia" w:ascii="方正黑体_GBK" w:hAnsi="方正黑体_GBK" w:eastAsia="方正黑体_GBK"/>
          <w:sz w:val="36"/>
          <w:szCs w:val="24"/>
        </w:rPr>
      </w:pPr>
    </w:p>
    <w:p w14:paraId="6BDEF039">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外商投资是参与中国式现代化建设、推动中国经济与世界经济共同繁荣发展的重要力量，也是推进高水平对外开放的重要内容，为发展新质生产力和实现中国式现代化发挥着重要作用。习近平总书记在上海考察时强调，要在更高起点上全面深化改革开放，全方位大力度推进首创性改革、引领性开放，深入推进跨境服务贸易和投资高水平开放。党的二十大及二十届三中全会强调，要合理缩减外资准入负面清单，依法保护外商投资权益，深化外商投资管理体制改革，稳步扩大规则、规制、管理、标准等制度型开放，积极营造市场化、法治化、国际化一流营商环境。近年来，我国持续保持新设外商投资企业较快增长态势，引进外资结构持续优化，各类外资项目加快落地。</w:t>
      </w:r>
    </w:p>
    <w:p w14:paraId="2BDF57A0">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自2020年1月1日起施行的《中华人民共和国外商投资法》（以下简称《外商投资法》）对外商投资的准入、促进、保护、管理等作出了统一规定，确立了我国新型外商投资法律制度的基本框架。国务院先后出台《国务院关于进一步优化外商投资环境加大吸引外商投资力度的意见》《扎实推进高水平对外开放更大力度吸引和利用外资行动方案》《2025年稳外资行动方案》等多项政策性文件。截至2024年12月，外商累计在中国投资设立的企业超过123.9万家，实际使用外资20.6万亿元。在上海设立的外资企业超7.5万家，累计实际使用外资超过2.52万亿元，上海始终是外商投资的重要阵地。</w:t>
      </w:r>
    </w:p>
    <w:p w14:paraId="43718C81">
      <w:pPr>
        <w:ind w:firstLine="567"/>
        <w:rPr>
          <w:rFonts w:hint="eastAsia" w:ascii="方正书宋_GBK" w:hAnsi="方正书宋_GBK" w:eastAsia="方正书宋_GBK"/>
          <w:sz w:val="28"/>
          <w:szCs w:val="24"/>
        </w:rPr>
      </w:pPr>
      <w:r>
        <w:rPr>
          <w:rFonts w:hint="eastAsia" w:ascii="方正书宋_GBK" w:hAnsi="方正书宋_GBK" w:eastAsia="方正书宋_GBK"/>
          <w:sz w:val="28"/>
          <w:szCs w:val="24"/>
        </w:rPr>
        <w:t>上海市浦东新区人民法院（以下简称浦东法院）积极回应外商投资领域司法需求，集中审理涉外商投资企业商事纠纷，平等保护中外经营主体合法权益，着力推广涉外商投资企业商事纠纷化解的法治经验，致力于打造司法服务和保障浦东新区高水平改革开放、建设社会主义现代化建设引领区的前沿阵地，为扎实推进浦东高水平对外开放，营造市场化、法治化、国际化一流营商环境提供有力司法支撑。</w:t>
      </w:r>
    </w:p>
    <w:p w14:paraId="760B6AAC">
      <w:pPr>
        <w:ind w:firstLine="567"/>
        <w:rPr>
          <w:rFonts w:hint="eastAsia" w:ascii="方正书宋_GBK" w:hAnsi="方正书宋_GBK" w:eastAsia="方正书宋_GBK"/>
          <w:sz w:val="28"/>
          <w:szCs w:val="24"/>
        </w:rPr>
      </w:pPr>
    </w:p>
    <w:p w14:paraId="1CB09DA7">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w:t>
      </w:r>
      <w:r>
        <w:rPr>
          <w:rFonts w:hint="eastAsia" w:ascii="方正黑体_GBK" w:hAnsi="方正黑体_GBK" w:eastAsia="方正黑体_GBK"/>
          <w:sz w:val="36"/>
          <w:szCs w:val="24"/>
        </w:rPr>
        <w:t>一、涉外商投资企业商事案件基本情况</w:t>
      </w:r>
    </w:p>
    <w:p w14:paraId="047B1E66">
      <w:pPr>
        <w:pStyle w:val="7"/>
        <w:spacing w:beforeLines="0" w:afterLines="0"/>
        <w:rPr>
          <w:rFonts w:hint="eastAsia" w:ascii="方正楷体_GBK" w:hAnsi="方正楷体_GBK" w:eastAsia="方正楷体_GBK"/>
          <w:sz w:val="28"/>
          <w:szCs w:val="24"/>
        </w:rPr>
      </w:pPr>
      <w:r>
        <w:rPr>
          <w:rFonts w:hint="eastAsia" w:ascii="方正楷体_GBK" w:hAnsi="方正楷体_GBK" w:eastAsia="方正楷体_GBK"/>
          <w:sz w:val="28"/>
          <w:szCs w:val="24"/>
        </w:rPr>
        <w:t>　　（一）案件总体呈现稳中趋升</w:t>
      </w:r>
    </w:p>
    <w:p w14:paraId="071BC190">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xml:space="preserve">　　2020年1月至2024年12月，浦东法院共受理涉外商投资企业商事纠纷（不含知识产权和金融）案件9939件，审结案件9645件，涉外商投资企业商事案件数量总体呈现稳中有升态势，收、结案数量基本维持均衡状态，商事交易秩序总体较为稳定。 </w:t>
      </w:r>
    </w:p>
    <w:p w14:paraId="4A648EC3">
      <w:pPr>
        <w:pStyle w:val="7"/>
        <w:spacing w:beforeLines="0" w:afterLines="0"/>
        <w:jc w:val="center"/>
        <w:rPr>
          <w:rFonts w:hint="eastAsia" w:ascii="方正书宋_GBK" w:hAnsi="方正书宋_GBK" w:eastAsia="方正书宋_GBK"/>
          <w:sz w:val="28"/>
          <w:szCs w:val="24"/>
        </w:rPr>
      </w:pPr>
      <w:r>
        <w:drawing>
          <wp:inline distT="0" distB="0" distL="114300" distR="114300">
            <wp:extent cx="5256530" cy="3075940"/>
            <wp:effectExtent l="4445" t="4445" r="15875" b="5715"/>
            <wp:docPr id="3" name="图表 3" descr="7b0a202020202263686172745265734964223a20223530303533343239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E5C0063">
      <w:pPr>
        <w:pStyle w:val="7"/>
        <w:spacing w:beforeLines="0" w:afterLines="0"/>
        <w:jc w:val="center"/>
        <w:rPr>
          <w:rFonts w:hint="eastAsia" w:ascii="方正书宋_GBK" w:hAnsi="方正书宋_GBK" w:eastAsia="方正书宋_GBK"/>
          <w:sz w:val="28"/>
          <w:szCs w:val="24"/>
        </w:rPr>
      </w:pPr>
      <w:r>
        <w:rPr>
          <w:rFonts w:hint="eastAsia" w:ascii="方正楷体_GBK" w:hAnsi="方正楷体_GBK" w:eastAsia="方正楷体_GBK"/>
          <w:sz w:val="24"/>
          <w:szCs w:val="24"/>
        </w:rPr>
        <w:t>图1：2020年-2024年涉外商投资企业商事案件收结案图</w:t>
      </w:r>
    </w:p>
    <w:p w14:paraId="1AFF1683">
      <w:pPr>
        <w:pStyle w:val="7"/>
        <w:spacing w:beforeLines="0" w:afterLines="0"/>
        <w:rPr>
          <w:rFonts w:hint="eastAsia" w:ascii="方正楷体_GBK" w:hAnsi="方正楷体_GBK" w:eastAsia="方正楷体_GBK"/>
          <w:sz w:val="28"/>
          <w:szCs w:val="24"/>
        </w:rPr>
      </w:pPr>
      <w:r>
        <w:rPr>
          <w:rFonts w:hint="eastAsia" w:ascii="方正楷体_GBK" w:hAnsi="方正楷体_GBK" w:eastAsia="方正楷体_GBK"/>
          <w:sz w:val="28"/>
          <w:szCs w:val="24"/>
        </w:rPr>
        <w:t>　　（二）纠纷类型成因相对集中</w:t>
      </w:r>
    </w:p>
    <w:p w14:paraId="15054BFB">
      <w:pPr>
        <w:pStyle w:val="7"/>
        <w:spacing w:beforeLines="0" w:afterLines="0"/>
        <w:ind w:firstLine="560"/>
        <w:rPr>
          <w:rFonts w:hint="eastAsia" w:ascii="方正书宋_GBK" w:hAnsi="方正书宋_GBK" w:eastAsia="方正书宋_GBK"/>
          <w:sz w:val="28"/>
          <w:szCs w:val="24"/>
        </w:rPr>
      </w:pPr>
      <w:r>
        <w:rPr>
          <w:rFonts w:hint="eastAsia" w:ascii="方正书宋_GBK" w:hAnsi="方正书宋_GBK" w:eastAsia="方正书宋_GBK"/>
          <w:sz w:val="28"/>
          <w:szCs w:val="24"/>
        </w:rPr>
        <w:t>涉外商投资企业商事案件共涉及150余种案由，其中，收案数量较多的案件为：买卖合同纠纷3567件，占比35.89%；服务合同纠纷1220件，占比12.27%；其他类型的合同纠纷中承揽合同纠纷、租赁合同纠纷占比较高，买卖、服务、承揽等传统商事合同仍是纠纷的高发区，新业态、新模式、新技术引发的新型商事合同纠纷逐渐增多。此外，与公司有关的纠纷案件770件，占比7.75%。其中，股权转让纠纷、损害公司债权人利益责任纠纷、请求变更公司登记纠纷、损害公司利益责任纠纷占60%以上，案件量总体呈递增趋势。</w:t>
      </w:r>
    </w:p>
    <w:p w14:paraId="7EDEF64F">
      <w:pPr>
        <w:pStyle w:val="7"/>
        <w:spacing w:beforeLines="0" w:afterLines="0"/>
        <w:ind w:firstLine="560"/>
        <w:jc w:val="center"/>
        <w:rPr>
          <w:rFonts w:hint="eastAsia" w:ascii="方正书宋_GBK" w:hAnsi="方正书宋_GBK" w:eastAsia="方正书宋_GBK"/>
          <w:sz w:val="28"/>
          <w:szCs w:val="24"/>
        </w:rPr>
      </w:pPr>
      <w:r>
        <w:rPr>
          <w:rFonts w:hint="eastAsia" w:eastAsiaTheme="minorEastAsia"/>
          <w:lang w:eastAsia="zh-CN"/>
        </w:rPr>
        <w:drawing>
          <wp:inline distT="0" distB="0" distL="114300" distR="114300">
            <wp:extent cx="5909945" cy="2437765"/>
            <wp:effectExtent l="4445" t="4445" r="10160" b="53340"/>
            <wp:docPr id="2" name="图表 2" descr="7b0a202020202263686172745265734964223a202235303035333431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DA37F2C">
      <w:pPr>
        <w:pStyle w:val="7"/>
        <w:spacing w:beforeLines="0" w:afterLines="0"/>
        <w:jc w:val="center"/>
        <w:rPr>
          <w:rFonts w:hint="eastAsia" w:ascii="方正楷体_GBK" w:hAnsi="方正楷体_GBK" w:eastAsia="方正楷体_GBK"/>
          <w:sz w:val="28"/>
          <w:szCs w:val="24"/>
        </w:rPr>
      </w:pPr>
      <w:r>
        <w:rPr>
          <w:rFonts w:hint="eastAsia" w:ascii="方正楷体_GBK" w:hAnsi="方正楷体_GBK" w:eastAsia="方正楷体_GBK"/>
          <w:sz w:val="24"/>
          <w:szCs w:val="24"/>
        </w:rPr>
        <w:t>图2：2020年-2024年涉外商投资企业商事案件案由分布图</w:t>
      </w:r>
    </w:p>
    <w:p w14:paraId="103D3A12">
      <w:pPr>
        <w:pStyle w:val="7"/>
        <w:spacing w:beforeLines="0" w:afterLines="0"/>
        <w:jc w:val="center"/>
        <w:rPr>
          <w:rFonts w:hint="eastAsia" w:ascii="方正楷体_GBK" w:hAnsi="方正楷体_GBK" w:eastAsia="方正楷体_GBK"/>
          <w:sz w:val="28"/>
          <w:szCs w:val="24"/>
          <w:lang w:eastAsia="zh-CN"/>
        </w:rPr>
      </w:pPr>
      <w:r>
        <w:rPr>
          <w:rFonts w:hint="eastAsia" w:ascii="方正楷体_GBK" w:hAnsi="方正楷体_GBK" w:eastAsia="方正楷体_GBK"/>
          <w:sz w:val="28"/>
          <w:szCs w:val="24"/>
          <w:lang w:eastAsia="zh-CN"/>
        </w:rPr>
        <w:drawing>
          <wp:inline distT="0" distB="0" distL="114300" distR="114300">
            <wp:extent cx="5541010" cy="2450465"/>
            <wp:effectExtent l="0" t="0" r="2540" b="6985"/>
            <wp:docPr id="1" name="图片 1" descr="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3"/>
                    <pic:cNvPicPr>
                      <a:picLocks noChangeAspect="1"/>
                    </pic:cNvPicPr>
                  </pic:nvPicPr>
                  <pic:blipFill>
                    <a:blip r:embed="rId8"/>
                    <a:stretch>
                      <a:fillRect/>
                    </a:stretch>
                  </pic:blipFill>
                  <pic:spPr>
                    <a:xfrm>
                      <a:off x="0" y="0"/>
                      <a:ext cx="5541010" cy="2450465"/>
                    </a:xfrm>
                    <a:prstGeom prst="rect">
                      <a:avLst/>
                    </a:prstGeom>
                  </pic:spPr>
                </pic:pic>
              </a:graphicData>
            </a:graphic>
          </wp:inline>
        </w:drawing>
      </w:r>
    </w:p>
    <w:p w14:paraId="132C89CD">
      <w:pPr>
        <w:pStyle w:val="7"/>
        <w:spacing w:beforeLines="0" w:afterLines="0"/>
        <w:jc w:val="center"/>
        <w:rPr>
          <w:rFonts w:hint="eastAsia" w:ascii="方正楷体_GBK" w:hAnsi="方正楷体_GBK" w:eastAsia="方正楷体_GBK"/>
          <w:sz w:val="28"/>
          <w:szCs w:val="24"/>
        </w:rPr>
      </w:pPr>
      <w:r>
        <w:rPr>
          <w:rFonts w:hint="eastAsia" w:ascii="方正楷体_GBK" w:hAnsi="方正楷体_GBK" w:eastAsia="方正楷体_GBK"/>
          <w:sz w:val="24"/>
          <w:szCs w:val="24"/>
        </w:rPr>
        <w:t>图3：2020年-2024年涉外商投资企业公司类案件案由分布图</w:t>
      </w:r>
    </w:p>
    <w:p w14:paraId="26E95EF6">
      <w:pPr>
        <w:pStyle w:val="7"/>
        <w:spacing w:beforeLines="0" w:afterLines="0"/>
        <w:rPr>
          <w:rFonts w:hint="eastAsia" w:ascii="方正楷体_GBK" w:hAnsi="方正楷体_GBK" w:eastAsia="方正楷体_GBK"/>
          <w:sz w:val="28"/>
          <w:szCs w:val="24"/>
        </w:rPr>
      </w:pPr>
      <w:r>
        <w:rPr>
          <w:rFonts w:hint="eastAsia" w:ascii="方正楷体_GBK" w:hAnsi="方正楷体_GBK" w:eastAsia="方正楷体_GBK"/>
          <w:sz w:val="28"/>
          <w:szCs w:val="24"/>
        </w:rPr>
        <w:t>　　（三）投资主体分布较为广泛</w:t>
      </w:r>
    </w:p>
    <w:p w14:paraId="5DC6795B">
      <w:pPr>
        <w:pStyle w:val="7"/>
        <w:spacing w:beforeLines="0" w:afterLines="0"/>
        <w:ind w:firstLine="567"/>
        <w:rPr>
          <w:rFonts w:hint="eastAsia" w:ascii="方正书宋_GBK" w:hAnsi="方正书宋_GBK" w:eastAsia="方正书宋_GBK"/>
          <w:sz w:val="28"/>
          <w:szCs w:val="24"/>
        </w:rPr>
      </w:pPr>
      <w:r>
        <w:rPr>
          <w:rFonts w:hint="eastAsia" w:ascii="方正书宋_GBK" w:hAnsi="方正书宋_GBK" w:eastAsia="方正书宋_GBK"/>
          <w:sz w:val="28"/>
          <w:szCs w:val="24"/>
        </w:rPr>
        <w:t>从涉外商投资企业商事案件投资主体的地域分布看，投资主体来自20多个国家和地区，所涉地域范围较为分散。其中，涉港澳台的案件占比16.73%，涉“一带一路”沿线国家的案件数量增多，主要涉及新加坡、韩国、泰国、阿联酋、马来西亚、俄罗斯、奥地利等多个国家。</w:t>
      </w:r>
    </w:p>
    <w:p w14:paraId="0E30BC5E">
      <w:pPr>
        <w:pStyle w:val="7"/>
        <w:spacing w:beforeLines="0" w:afterLines="0"/>
        <w:ind w:firstLine="567"/>
        <w:rPr>
          <w:rFonts w:hint="eastAsia" w:ascii="方正书宋_GBK" w:hAnsi="方正书宋_GBK" w:eastAsia="方正书宋_GBK"/>
          <w:sz w:val="28"/>
          <w:szCs w:val="24"/>
          <w:lang w:eastAsia="zh-CN"/>
        </w:rPr>
      </w:pPr>
      <w:r>
        <w:rPr>
          <w:rFonts w:hint="eastAsia" w:ascii="方正书宋_GBK" w:hAnsi="方正书宋_GBK" w:eastAsia="方正书宋_GBK"/>
          <w:sz w:val="28"/>
          <w:szCs w:val="24"/>
          <w:lang w:eastAsia="zh-CN"/>
        </w:rPr>
        <w:drawing>
          <wp:inline distT="0" distB="0" distL="114300" distR="114300">
            <wp:extent cx="5288280" cy="2819400"/>
            <wp:effectExtent l="0" t="0" r="7620" b="0"/>
            <wp:docPr id="4" name="图片 4" descr="t-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t-4"/>
                    <pic:cNvPicPr>
                      <a:picLocks noChangeAspect="1"/>
                    </pic:cNvPicPr>
                  </pic:nvPicPr>
                  <pic:blipFill>
                    <a:blip r:embed="rId9"/>
                    <a:stretch>
                      <a:fillRect/>
                    </a:stretch>
                  </pic:blipFill>
                  <pic:spPr>
                    <a:xfrm>
                      <a:off x="0" y="0"/>
                      <a:ext cx="5288280" cy="2819400"/>
                    </a:xfrm>
                    <a:prstGeom prst="rect">
                      <a:avLst/>
                    </a:prstGeom>
                  </pic:spPr>
                </pic:pic>
              </a:graphicData>
            </a:graphic>
          </wp:inline>
        </w:drawing>
      </w:r>
    </w:p>
    <w:p w14:paraId="5E80C760">
      <w:pPr>
        <w:pStyle w:val="7"/>
        <w:spacing w:beforeLines="0" w:afterLines="0"/>
        <w:jc w:val="center"/>
        <w:rPr>
          <w:rFonts w:hint="eastAsia" w:ascii="方正书宋_GBK" w:hAnsi="方正书宋_GBK" w:eastAsia="方正书宋_GBK"/>
          <w:sz w:val="28"/>
          <w:szCs w:val="24"/>
        </w:rPr>
      </w:pPr>
      <w:r>
        <w:rPr>
          <w:rFonts w:hint="eastAsia" w:ascii="方正楷体_GBK" w:hAnsi="方正楷体_GBK" w:eastAsia="方正楷体_GBK"/>
          <w:sz w:val="24"/>
          <w:szCs w:val="24"/>
        </w:rPr>
        <w:t>图4：2020年-2024年涉外商投资企业投资主体分布图</w:t>
      </w:r>
    </w:p>
    <w:p w14:paraId="0EC73EAF">
      <w:pPr>
        <w:pStyle w:val="7"/>
        <w:spacing w:beforeLines="0" w:afterLines="0"/>
        <w:rPr>
          <w:rFonts w:hint="eastAsia" w:ascii="方正楷体_GBK" w:hAnsi="方正楷体_GBK" w:eastAsia="方正楷体_GBK"/>
          <w:sz w:val="28"/>
          <w:szCs w:val="24"/>
        </w:rPr>
      </w:pPr>
      <w:r>
        <w:rPr>
          <w:rFonts w:hint="eastAsia" w:ascii="方正楷体_GBK" w:hAnsi="方正楷体_GBK" w:eastAsia="方正楷体_GBK"/>
          <w:sz w:val="28"/>
          <w:szCs w:val="24"/>
        </w:rPr>
        <w:t xml:space="preserve">　　（四）案件标的金额总体较高 </w:t>
      </w:r>
    </w:p>
    <w:p w14:paraId="210BD802">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从涉诉案件标的额看，标的总额达271.43亿元，平均标的额273.10万元。其中，标的额在20万元以下的案件共3611件，占比36.33%；标的额在20万元至100万元的案件共3151件，占比31.70%；标的额在100万元至1000万元的案件共2620件，占比26.36%；标的额在1000万元以上的案件共557件，占比5.61%。总体而言，标的额在100万元以上的涉外商投资企业商事纠纷案件占比较高。</w:t>
      </w:r>
    </w:p>
    <w:p w14:paraId="2FB71F13">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w:t>
      </w:r>
      <w:r>
        <w:drawing>
          <wp:inline distT="0" distB="0" distL="114300" distR="114300">
            <wp:extent cx="5256530" cy="2552065"/>
            <wp:effectExtent l="4445" t="4445" r="15875" b="53340"/>
            <wp:docPr id="8" name="图表 8" descr="7b0a202020202263686172745265734964223a202235303035333431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C0D924A">
      <w:pPr>
        <w:pStyle w:val="7"/>
        <w:spacing w:beforeLines="0" w:afterLines="0"/>
        <w:jc w:val="center"/>
        <w:rPr>
          <w:rFonts w:hint="eastAsia" w:ascii="方正书宋_GBK" w:hAnsi="方正书宋_GBK" w:eastAsia="方正书宋_GBK"/>
          <w:sz w:val="28"/>
          <w:szCs w:val="24"/>
        </w:rPr>
      </w:pPr>
      <w:r>
        <w:rPr>
          <w:rFonts w:hint="eastAsia" w:ascii="方正楷体_GBK" w:hAnsi="方正楷体_GBK" w:eastAsia="方正楷体_GBK"/>
          <w:sz w:val="24"/>
          <w:szCs w:val="24"/>
        </w:rPr>
        <w:t>图5：2020年-2024年涉外商投资企业商事案件标的额分布图</w:t>
      </w:r>
    </w:p>
    <w:p w14:paraId="1C4B681C">
      <w:pPr>
        <w:pStyle w:val="7"/>
        <w:spacing w:beforeLines="0" w:afterLines="0"/>
        <w:rPr>
          <w:rFonts w:hint="eastAsia" w:ascii="方正楷体_GBK" w:hAnsi="方正楷体_GBK" w:eastAsia="方正楷体_GBK"/>
          <w:sz w:val="28"/>
          <w:szCs w:val="24"/>
        </w:rPr>
      </w:pPr>
      <w:r>
        <w:rPr>
          <w:rFonts w:hint="eastAsia" w:ascii="方正楷体_GBK" w:hAnsi="方正楷体_GBK" w:eastAsia="方正楷体_GBK"/>
          <w:sz w:val="28"/>
          <w:szCs w:val="24"/>
        </w:rPr>
        <w:t>　　（五）商事调解解纷成效突出</w:t>
      </w:r>
    </w:p>
    <w:p w14:paraId="57123BB8">
      <w:pPr>
        <w:pStyle w:val="7"/>
        <w:spacing w:beforeLines="0" w:afterLines="0"/>
        <w:ind w:firstLine="567"/>
        <w:rPr>
          <w:rFonts w:hint="eastAsia" w:ascii="方正书宋_GBK" w:hAnsi="方正书宋_GBK" w:eastAsia="方正书宋_GBK"/>
          <w:sz w:val="28"/>
          <w:szCs w:val="24"/>
        </w:rPr>
      </w:pPr>
      <w:r>
        <w:rPr>
          <w:rFonts w:hint="eastAsia" w:ascii="方正书宋_GBK" w:hAnsi="方正书宋_GBK" w:eastAsia="方正书宋_GBK"/>
          <w:sz w:val="28"/>
          <w:szCs w:val="24"/>
        </w:rPr>
        <w:t>从纠纷结案方式上看，以判决方式结案的案件共4020件，占41.68%；以调解方式结案的案件共1910件，占19.8%；以撤诉（含按撤诉处理）方式结案的案件共3126件，占32.42%；以其他方式（裁定驳回起诉、裁定移送、裁定不予受理、申请司法确认等）结案的案件共589件，占6.1%；案件整体调解、撤诉比例达52.22%。　　</w:t>
      </w:r>
    </w:p>
    <w:p w14:paraId="22A47B24">
      <w:pPr>
        <w:pStyle w:val="7"/>
        <w:spacing w:beforeLines="0" w:afterLines="0"/>
        <w:ind w:firstLine="567"/>
        <w:rPr>
          <w:rFonts w:hint="eastAsia" w:ascii="方正书宋_GBK" w:hAnsi="方正书宋_GBK" w:eastAsia="方正书宋_GBK"/>
          <w:sz w:val="28"/>
          <w:szCs w:val="24"/>
        </w:rPr>
      </w:pPr>
      <w:r>
        <w:drawing>
          <wp:inline distT="0" distB="0" distL="114300" distR="114300">
            <wp:extent cx="5256530" cy="2590800"/>
            <wp:effectExtent l="4445" t="4445" r="15875" b="14605"/>
            <wp:docPr id="9" name="图表 9" descr="7b0a202020202263686172745265734964223a20223530303533343239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CEE57DF">
      <w:pPr>
        <w:pStyle w:val="7"/>
        <w:spacing w:beforeLines="0" w:afterLines="0"/>
        <w:jc w:val="center"/>
        <w:rPr>
          <w:rFonts w:hint="eastAsia" w:ascii="方正书宋_GBK" w:hAnsi="方正书宋_GBK" w:eastAsia="方正书宋_GBK"/>
          <w:sz w:val="28"/>
          <w:szCs w:val="24"/>
        </w:rPr>
      </w:pPr>
      <w:r>
        <w:rPr>
          <w:rFonts w:hint="eastAsia" w:ascii="方正楷体_GBK" w:hAnsi="方正楷体_GBK" w:eastAsia="方正楷体_GBK"/>
          <w:sz w:val="24"/>
          <w:szCs w:val="24"/>
        </w:rPr>
        <w:t>图6：2020年-2024年涉外商投资企业商事案件结案方式图</w:t>
      </w:r>
    </w:p>
    <w:p w14:paraId="4D706183">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w:t>
      </w:r>
    </w:p>
    <w:p w14:paraId="7841CE08">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w:t>
      </w:r>
      <w:r>
        <w:rPr>
          <w:rFonts w:hint="eastAsia" w:ascii="方正黑体_GBK" w:hAnsi="方正黑体_GBK" w:eastAsia="方正黑体_GBK"/>
          <w:sz w:val="36"/>
          <w:szCs w:val="24"/>
        </w:rPr>
        <w:t>二、涉外商投资企业商事案件主要特征</w:t>
      </w:r>
      <w:r>
        <w:rPr>
          <w:rFonts w:hint="eastAsia" w:ascii="方正书宋_GBK" w:hAnsi="方正书宋_GBK" w:eastAsia="方正书宋_GBK"/>
          <w:sz w:val="28"/>
          <w:szCs w:val="24"/>
        </w:rPr>
        <w:t>　</w:t>
      </w:r>
    </w:p>
    <w:p w14:paraId="512704A9">
      <w:pPr>
        <w:pStyle w:val="7"/>
        <w:spacing w:beforeLines="0" w:afterLines="0"/>
        <w:rPr>
          <w:rFonts w:hint="eastAsia" w:ascii="方正楷体_GBK" w:hAnsi="方正楷体_GBK" w:eastAsia="方正楷体_GBK"/>
          <w:sz w:val="28"/>
          <w:szCs w:val="24"/>
        </w:rPr>
      </w:pPr>
      <w:r>
        <w:rPr>
          <w:rFonts w:hint="eastAsia" w:ascii="方正楷体_GBK" w:hAnsi="方正楷体_GBK" w:eastAsia="方正楷体_GBK"/>
          <w:sz w:val="28"/>
          <w:szCs w:val="24"/>
        </w:rPr>
        <w:t>　　（一）涉诉企业外资成分增加，投资领域不断扩大</w:t>
      </w:r>
    </w:p>
    <w:p w14:paraId="54CC9559">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浦东法院受理的涉外商投资企业商事纠纷中共涉及外商投资企业6197家，其中由境外投资人独立投资的企业为3698家，占比59.67%；由境外投资人与境内投资人共同投资的企业为2499家，占比40.33%。外国投资者投资渠道进一步畅通，准入前国民待遇原则得到贯彻落实，投资便利化政策有效落地。外商投资企业覆盖制造业、服务业、高新技术产业等多元领域，聚焦新能源汽车、人工智能、生物医药、集成电路等战略性新兴产业，并涉及跨境数据流通、离岸贸易、数字服务等新型贸易形态，外商投资企业进一步从传统货物贸易向先进制造业和现代服务业转型升级。</w:t>
      </w:r>
    </w:p>
    <w:p w14:paraId="791FCDD1">
      <w:pPr>
        <w:pStyle w:val="7"/>
        <w:spacing w:beforeLines="0" w:afterLines="0"/>
        <w:rPr>
          <w:rFonts w:hint="eastAsia" w:ascii="方正楷体_GBK" w:hAnsi="方正楷体_GBK" w:eastAsia="方正楷体_GBK"/>
          <w:sz w:val="28"/>
          <w:szCs w:val="24"/>
        </w:rPr>
      </w:pPr>
      <w:r>
        <w:rPr>
          <w:rFonts w:hint="eastAsia" w:ascii="方正楷体_GBK" w:hAnsi="方正楷体_GBK" w:eastAsia="方正楷体_GBK"/>
          <w:sz w:val="28"/>
          <w:szCs w:val="24"/>
        </w:rPr>
        <w:t>　　（二）服务贸易纠纷形态多元，争议事项更为繁杂</w:t>
      </w:r>
    </w:p>
    <w:p w14:paraId="4150B100">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浦东法院受理的涉外商投资企业商事纠纷中服务合同纠纷占比持续上升，年均增长18个百分点。服务贸易呈现出形态多元、内容复杂的新特点，纠纷主要争点包含行为性质界分、合同效力判定、知识产权关联事项处理、数据权益保护路径等，服务内容呈现多元化、专业化、技术化的特点，复合型法律关系更为普遍。服务贸易纠纷争点的转变与当前国际服务贸易内容日益多样化、数字化、精细化的发展趋势，以及我国主动对接国际高标准经贸规则的现实需求密切相关。尤其在数字经济时代，资源要素跨境流动加速，线上教育培训、账号委托运营、电商平台客户流量推广等新型服务模式深度融入经济社会，买卖、承揽、委托等有名合同与服务合同的交错性更为复杂，部分新型服务合同以无名合同的形态进入司法视野。此外，服务贸易交易环节的复杂性加大了合同履行过程中关键事实的认定难度，加之服务履行的方式、过程及服务结果的检验标准存在高度不确定性，服务合同中特有的主观评判标准导致服务提供方与接受方在主体是否适格、服务期限是否届满、服务内容是否完成、服务结果是否符合合同约定等方面较易发生争议。</w:t>
      </w:r>
    </w:p>
    <w:p w14:paraId="1AB910EE">
      <w:pPr>
        <w:pStyle w:val="7"/>
        <w:spacing w:beforeLines="0" w:afterLines="0"/>
        <w:rPr>
          <w:rFonts w:hint="eastAsia" w:ascii="方正楷体_GBK" w:hAnsi="方正楷体_GBK" w:eastAsia="方正楷体_GBK"/>
          <w:sz w:val="28"/>
          <w:szCs w:val="24"/>
        </w:rPr>
      </w:pPr>
      <w:r>
        <w:rPr>
          <w:rFonts w:hint="eastAsia" w:ascii="方正楷体_GBK" w:hAnsi="方正楷体_GBK" w:eastAsia="方正楷体_GBK"/>
          <w:sz w:val="28"/>
          <w:szCs w:val="24"/>
        </w:rPr>
        <w:t>　　（三）企业转型决议纠纷渐显，组织转型压力增大</w:t>
      </w:r>
    </w:p>
    <w:p w14:paraId="09635964">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外商投资法》要求该法施行前设立的外资企业，应于2024年12月31日前依法调整组织形式、组织机构及其活动准则，以此顺应现代公司法的发展需求。而囿于经济社会发展和企业运营管理中的各类复杂因素，部分外资企业未能在规定的五年过渡期内完成组织转型，进而出现企业最高权力机构不明的情形。部分外资企业可能同时存在董事会和股东会两种权力机构并行，出现公司不同权力机构的决策内容冲突等影响公司正常经营的困境，外商投资企业的内部决策治理行为与外部市场交易行为均存在不确定性风险。司法实践中，已显现的纠纷成因多为企业权力机构尚未在法定期限内完成调整或机构调整存在不周延之处，进而引发公司决议效力争议，从而导致股东和企业、股东和股东、债权人和企业、债权人和股东之间以及公司内部治理僵局类纠纷。</w:t>
      </w:r>
    </w:p>
    <w:p w14:paraId="60AA5D0B">
      <w:pPr>
        <w:pStyle w:val="7"/>
        <w:spacing w:beforeLines="0" w:afterLines="0"/>
        <w:rPr>
          <w:rFonts w:hint="eastAsia" w:ascii="方正楷体_GBK" w:hAnsi="方正楷体_GBK" w:eastAsia="方正楷体_GBK"/>
          <w:sz w:val="28"/>
          <w:szCs w:val="24"/>
        </w:rPr>
      </w:pPr>
      <w:r>
        <w:rPr>
          <w:rFonts w:hint="eastAsia" w:ascii="方正楷体_GBK" w:hAnsi="方正楷体_GBK" w:eastAsia="方正楷体_GBK"/>
          <w:sz w:val="28"/>
          <w:szCs w:val="24"/>
        </w:rPr>
        <w:t>　　（四）董监高履职进一步规范，履职风险亟待重视</w:t>
      </w:r>
    </w:p>
    <w:p w14:paraId="4CFF9222">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外商投资企业的外国投资者往往通过指派企业法定代表人、董事、监事及高级管理人员对企业进行管理控制，企业核心控制人员对企业所负的忠实勤勉义务是保障外国投资者权益的重要手段。而新修订的《公司法》围绕公司董监高的忠实勤勉义务，强化董监高的实质化责任，并对关联交易作出扩大认定，部分间接自我交易和其他关联交易均被纳入规制范围，进一步规范了企业董监高的信义义务。实践中，关联人员类型存在配偶、子女、员工、司机、保姆等多类身份，关联交易对象主要集中于董监高通过近亲属控制的关联企业，表现形式包括以企业为主体的股权转让及以市场交易为形式进行资金输送或重大财产转移等损害公司利益行为。此外，与董监高权责强化相对应，董监高群体任职、履职相关的纠纷明显增多，主要表现为涉董监高人员登记（备案）事项的变更与涤除类案件。2024年审理的请求变更公司登记案件同比增长高达300%，涤除身份的原因集中于冒名型、挂名型、离职型、控制权变动型，涉诉企业未到庭应诉的情况较为普遍，且多数已处于非正常经营状态。</w:t>
      </w:r>
    </w:p>
    <w:p w14:paraId="29DE02EB">
      <w:pPr>
        <w:pStyle w:val="7"/>
        <w:spacing w:beforeLines="0" w:afterLines="0"/>
        <w:rPr>
          <w:rFonts w:hint="eastAsia" w:ascii="方正楷体_GBK" w:hAnsi="方正楷体_GBK" w:eastAsia="方正楷体_GBK"/>
          <w:sz w:val="28"/>
          <w:szCs w:val="24"/>
        </w:rPr>
      </w:pPr>
      <w:r>
        <w:rPr>
          <w:rFonts w:hint="eastAsia" w:ascii="方正楷体_GBK" w:hAnsi="方正楷体_GBK" w:eastAsia="方正楷体_GBK"/>
          <w:sz w:val="28"/>
          <w:szCs w:val="24"/>
        </w:rPr>
        <w:t>　　（五）企业管理模式日益复杂，股权激励兑现较难</w:t>
      </w:r>
    </w:p>
    <w:p w14:paraId="48CF8F1B">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随着外商投资企业数量的上升和经营模式的创新，多种形式的股权激励愈发普遍，外商投资企业在激励高级管理人员及核心技术人才时，倾向于运用股权期权、红利承诺、甚至是虚拟股权等形式。部分外商投资企业通过VIE架构，分离上市实体与运营实体，导致公司存在多层控股关系，股权结构及股权激励方案较为复杂。实践中，股权激励协议易存在签订形式缺乏规范性、权利行使方式模糊不清、违约责任条款设置不明确等问题，导致频繁出现因职责界限不清、高管权限模糊及中层管理人员擅自履职所引发的违约与侵权行为。尤其是在企业估值波动较大或受激励对象离职、违约等情形下，各方对价值评估方法和依据往往存在较大分歧，如何界定股权的公允价值成为纠纷处理的核心问题之一。而部分企业可能在激励方案拟定的股权架构尚未正式落地前即作出利益承诺，后续却未能履行，最终引发与股权转让或公司利益受损相关的多重法律诉讼。因此，此类案件通常涉案金额较大、争议事项繁复、案情结构复杂，且与企业的融资安排、主营业务发展及关键绩效指标密切相关，对企业管理规则设计及治理能力创新都提出了更高要求。</w:t>
      </w:r>
    </w:p>
    <w:p w14:paraId="03F2BA2B">
      <w:pPr>
        <w:pStyle w:val="7"/>
        <w:spacing w:beforeLines="0" w:afterLines="0"/>
        <w:rPr>
          <w:rFonts w:hint="eastAsia" w:ascii="方正书宋_GBK" w:hAnsi="方正书宋_GBK" w:eastAsia="方正书宋_GBK"/>
          <w:sz w:val="28"/>
          <w:szCs w:val="24"/>
        </w:rPr>
      </w:pPr>
    </w:p>
    <w:p w14:paraId="1AEED73E">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w:t>
      </w:r>
      <w:r>
        <w:rPr>
          <w:rFonts w:hint="eastAsia" w:ascii="方正黑体_GBK" w:hAnsi="方正黑体_GBK" w:eastAsia="方正黑体_GBK"/>
          <w:sz w:val="36"/>
          <w:szCs w:val="24"/>
        </w:rPr>
        <w:t>三、服务保障高水平对外开放工作举措</w:t>
      </w:r>
      <w:r>
        <w:rPr>
          <w:rFonts w:hint="eastAsia" w:ascii="方正书宋_GBK" w:hAnsi="方正书宋_GBK" w:eastAsia="方正书宋_GBK"/>
          <w:sz w:val="28"/>
          <w:szCs w:val="24"/>
        </w:rPr>
        <w:t>　　</w:t>
      </w:r>
    </w:p>
    <w:p w14:paraId="69E497E3">
      <w:pPr>
        <w:pStyle w:val="7"/>
        <w:spacing w:beforeLines="0" w:afterLines="0"/>
        <w:rPr>
          <w:rFonts w:hint="eastAsia" w:ascii="方正楷体_GBK" w:hAnsi="方正楷体_GBK" w:eastAsia="方正楷体_GBK"/>
          <w:sz w:val="28"/>
          <w:szCs w:val="24"/>
        </w:rPr>
      </w:pPr>
      <w:r>
        <w:rPr>
          <w:rFonts w:hint="eastAsia" w:ascii="方正楷体_GBK" w:hAnsi="方正楷体_GBK" w:eastAsia="方正楷体_GBK"/>
          <w:sz w:val="28"/>
          <w:szCs w:val="24"/>
        </w:rPr>
        <w:t>　　（一）提升工作站位，建立服务保障长效机制</w:t>
      </w:r>
    </w:p>
    <w:p w14:paraId="0EE928E6">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浦东法院加大司法供给力度，构建常态化服务机制，积极服务保障外商投资企业合法权益实现。</w:t>
      </w:r>
    </w:p>
    <w:p w14:paraId="23D52A83">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一是以立法联系点联动沟通，汇集外商投资企业“民声”。浦东法院以自由贸易区法庭（以下简称自贸区法庭）基层立法联系点为抓手，发挥浦东新区“立法试验田”作用，积极推进关于涉外商事争议多元解决机制建设等多部浦东新区法规、管理措施相关立法项目，并特别搭建与辖区内外商投资企业的立法建议沟通渠道，将企业的实际需求反映到立法建议中。二是推动临港审判站常态化运作，回应外商投资企业多元司法需求。2019年10月19日，浦东法院自贸区法庭临港新片区审判站揭牌成立。在此基础上，浦东法院为临港新片区提供定制化法律服务，开展巡回审判、集中宣判活动，并将外商投资企业纳入审判站服务对象，方便企业参与诉讼。三是积极参与枫桥式人民法庭创建工作，推动矛盾纠纷基层实质性化解。浦东法院自贸区法庭主动融入党委领导的基层社会治理体系，健全预防化解社会矛盾机制，积极为辖区外商投资企业提供普法宣传等司法延伸服务，获评上海法院“枫桥式人民法庭”创建先进集体。</w:t>
      </w:r>
    </w:p>
    <w:p w14:paraId="7C5410F1">
      <w:pPr>
        <w:pStyle w:val="7"/>
        <w:spacing w:beforeLines="0" w:afterLines="0"/>
        <w:rPr>
          <w:rFonts w:hint="eastAsia" w:ascii="方正楷体_GBK" w:hAnsi="方正楷体_GBK" w:eastAsia="方正楷体_GBK"/>
          <w:sz w:val="28"/>
          <w:szCs w:val="24"/>
        </w:rPr>
      </w:pPr>
      <w:r>
        <w:rPr>
          <w:rFonts w:hint="eastAsia" w:ascii="方正楷体_GBK" w:hAnsi="方正楷体_GBK" w:eastAsia="方正楷体_GBK"/>
          <w:sz w:val="28"/>
          <w:szCs w:val="24"/>
        </w:rPr>
        <w:t>　　（二）创新审判机制，推动定分止争职能发挥</w:t>
      </w:r>
    </w:p>
    <w:p w14:paraId="7452A130">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浦东法院聚焦外商投资企业发展中出现的新情况、新问题，积极创新审判模式，不断积累司法经验。</w:t>
      </w:r>
    </w:p>
    <w:p w14:paraId="3813C942">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一是以集中审理和专项审判机制提升审判质效。建立涉外商投资企业商事纠纷集中审理机制，科学配置涉外商事专业审判资源，探索构建“三专合一”（即专业法官、专家陪审、专家咨询）的专业化审判机制，持续增强涉外审判质效。二是以专业化团队建设夯实审判人才根基。高度重视法治人才建设，借力涉外商事审判专家委员会成立涉外商事司法研习社，通过系统化专业培训、院校合作协同培养、常态化案例研讨等多种途径，建设忠诚履职、业务精湛、担当创新的复合型、专家型法官人才梯队，以高水平审判队伍保障高质量司法服务。三是以司法建议、典型案例促进法律宣传。连续多年发布审判白皮书、调研报告，聚焦涉外商投资企业的权益保护，发布一系列具有较大影响的涉外商投资企业案件。对外商投资企业可能面临的法律风险进行提示，送法进园区，举行主题讲座，赠发案例书籍，引导企业防控法律风险。</w:t>
      </w:r>
    </w:p>
    <w:p w14:paraId="61606B5A">
      <w:pPr>
        <w:pStyle w:val="7"/>
        <w:spacing w:beforeLines="0" w:afterLines="0"/>
        <w:rPr>
          <w:rFonts w:hint="eastAsia" w:ascii="方正楷体_GBK" w:hAnsi="方正楷体_GBK" w:eastAsia="方正楷体_GBK"/>
          <w:sz w:val="28"/>
          <w:szCs w:val="24"/>
        </w:rPr>
      </w:pPr>
      <w:r>
        <w:rPr>
          <w:rFonts w:hint="eastAsia" w:ascii="方正楷体_GBK" w:hAnsi="方正楷体_GBK" w:eastAsia="方正楷体_GBK"/>
          <w:sz w:val="28"/>
          <w:szCs w:val="24"/>
        </w:rPr>
        <w:t>　　（三）聚集数字赋能，提升司法服务精度水平</w:t>
      </w:r>
    </w:p>
    <w:p w14:paraId="3DAEE55B">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浦东法院注重数字法院建设，积极探索运用信息化手段研判分析涉外商投资企业案件特征及风险预警，推动自贸区司法大数据系统完善及深度应用。</w:t>
      </w:r>
    </w:p>
    <w:p w14:paraId="7501E377">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一是以司法大数据研判纠纷趋势。开发建设“上海法院自贸试验区司法大数据分析系统”，主动采集、梳理了上海法院审理的31万余件涉自贸区案件和全国其他法院审理的9万余份涉自贸区裁判文书数据，进一步加强涉外商投资企业商事纠纷司法数据分析，就投资贸易商事案件等纠纷发展趋势进行研判，特别是针对快速增长阶段下新模式、新业态而产生的商事案件类型结构多样化趋势进行预判。二是以场景应用提升审判质效。针对外商投资企业的涉外司法服务需求，设计“涉外、涉港澳台民商事裁判文书规范化制作”“国际货物买卖合同纠纷优先适用《联合国国际货物销售合同公约》”提示预警项目。三是以专刊编写推动数据运用。组织编写司法大数据应用分析专刊，专题形成涉外商投资企业调研报告及典型案例，并获最高人民法院办公厅评选的“贯彻实施外商投资法，依法保护外商投资权益优秀调研报告”。</w:t>
      </w:r>
    </w:p>
    <w:p w14:paraId="64E7776B">
      <w:pPr>
        <w:pStyle w:val="7"/>
        <w:spacing w:beforeLines="0" w:afterLines="0"/>
        <w:rPr>
          <w:rFonts w:hint="eastAsia" w:ascii="方正楷体_GBK" w:hAnsi="方正楷体_GBK" w:eastAsia="方正楷体_GBK"/>
          <w:sz w:val="28"/>
          <w:szCs w:val="24"/>
        </w:rPr>
      </w:pPr>
      <w:r>
        <w:rPr>
          <w:rFonts w:hint="eastAsia" w:ascii="方正楷体_GBK" w:hAnsi="方正楷体_GBK" w:eastAsia="方正楷体_GBK"/>
          <w:sz w:val="28"/>
          <w:szCs w:val="24"/>
        </w:rPr>
        <w:t>　　（四）优化解纷效能，助力一流营商环境建设</w:t>
      </w:r>
    </w:p>
    <w:p w14:paraId="6004DE74">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浦东法院探索将“诉调对接”机制扩展为诉讼、调解、仲裁有机衔接转换的“三位一体”模式，建立涉外商事纠纷“诉讼、调解、仲裁”一站式工作室，并在翻译、公证、域外法查明等方面提供对接便利。</w:t>
      </w:r>
    </w:p>
    <w:p w14:paraId="7FCFBE5E">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一方面，深化涉外商事争议多元解决机制建设。实现涉外商事纠纷“诉讼、调解、仲裁”一站式解决工作室与临港新片区一站式争议解决中心的双向对接，扩大一站式工作室入驻资源共享力度。同时，提议并起草《浦东新区健全涉外商事争议多元解决机制若干规定》，协同临港新片区管委会、浦东新区司法局共同设立涉外商事一站式争议解决中心，构建涉外商投资企业纠纷的高效解纷路径。另一方面，不断提升商事调解服务质效。浦东法院自贸区法庭组建涉外商事纠纷先行调解团队，加强对商事调解组织的司法指导，提升调解工作专业化水平；细化涉外商事案件繁简分流标准，落实对商事调解组织的考核管理，规范并支持调解组织市场化运作；加强商事调解协议司法确认，增强商事调解服务的可及性和运转效率；积极参与面向市场主体的法律宣传讲座及咨询会，让司法服务在营商环境建设中更加真实可感。</w:t>
      </w:r>
    </w:p>
    <w:p w14:paraId="249EBA96">
      <w:pPr>
        <w:pStyle w:val="7"/>
        <w:spacing w:beforeLines="0" w:afterLines="0"/>
        <w:rPr>
          <w:rFonts w:hint="eastAsia" w:ascii="方正书宋_GBK" w:hAnsi="方正书宋_GBK" w:eastAsia="方正书宋_GBK"/>
          <w:sz w:val="28"/>
          <w:szCs w:val="24"/>
        </w:rPr>
      </w:pPr>
    </w:p>
    <w:p w14:paraId="6AC7CFCE">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w:t>
      </w:r>
      <w:r>
        <w:rPr>
          <w:rFonts w:hint="eastAsia" w:ascii="方正黑体_GBK" w:hAnsi="方正黑体_GBK" w:eastAsia="方正黑体_GBK"/>
          <w:sz w:val="36"/>
          <w:szCs w:val="24"/>
        </w:rPr>
        <w:t>四、涉外商投资企业权益保护法律提示</w:t>
      </w:r>
      <w:r>
        <w:rPr>
          <w:rFonts w:hint="eastAsia" w:ascii="方正书宋_GBK" w:hAnsi="方正书宋_GBK" w:eastAsia="方正书宋_GBK"/>
          <w:sz w:val="28"/>
          <w:szCs w:val="24"/>
        </w:rPr>
        <w:t xml:space="preserve">    </w:t>
      </w:r>
    </w:p>
    <w:p w14:paraId="64A16061">
      <w:pPr>
        <w:pStyle w:val="7"/>
        <w:spacing w:beforeLines="0" w:afterLines="0"/>
        <w:rPr>
          <w:rFonts w:hint="eastAsia" w:ascii="方正楷体_GBK" w:hAnsi="方正楷体_GBK" w:eastAsia="方正楷体_GBK"/>
          <w:sz w:val="28"/>
          <w:szCs w:val="24"/>
        </w:rPr>
      </w:pPr>
      <w:r>
        <w:rPr>
          <w:rFonts w:hint="eastAsia" w:ascii="方正楷体_GBK" w:hAnsi="方正楷体_GBK" w:eastAsia="方正楷体_GBK"/>
          <w:sz w:val="28"/>
          <w:szCs w:val="24"/>
        </w:rPr>
        <w:t>　　（一）公司经营管理法律提示</w:t>
      </w:r>
    </w:p>
    <w:p w14:paraId="4F68C7A6">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1. 经营范围问题</w:t>
      </w:r>
    </w:p>
    <w:p w14:paraId="5B94C640">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【法律提示要点】</w:t>
      </w:r>
    </w:p>
    <w:p w14:paraId="3DCF2B98">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外商投资法》确立了我国对外商投资实行准入前国民待遇加负面清单管理制度，在外商投资准入阶段给予外国投资者及其投资不低于本国投资者及其投资的待遇，但外商投资企业申请经营范围亦应符合《外商投资准入特别管理措施（负面清单）》（以下简称《外商投资准入负面清单》）的规定，若外国投资者投资规定禁止投资的领域、投资活动违反限制性准入特别管理措施或其他准入负面清单规定的，将被依法采取责令停止投资、限期改正等必要措施，并依法承担相应法律责任，相应外商投资企业将不予登记注册。</w:t>
      </w:r>
    </w:p>
    <w:p w14:paraId="28F0A18F">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【风险防控措施】</w:t>
      </w:r>
    </w:p>
    <w:p w14:paraId="650F6AD7">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（1）外</w:t>
      </w:r>
      <w:r>
        <w:rPr>
          <w:rFonts w:hint="eastAsia" w:ascii="方正书宋_GBK" w:hAnsi="方正书宋_GBK" w:eastAsia="方正书宋_GBK"/>
          <w:spacing w:val="-6"/>
          <w:sz w:val="28"/>
          <w:szCs w:val="24"/>
        </w:rPr>
        <w:t>商投资企业在确定并申请经营范围前应查阅当时有效的《外商投资准入负面清单》及《市场准入负面清单》，确保经营范围依法合规</w:t>
      </w:r>
      <w:r>
        <w:rPr>
          <w:rFonts w:hint="eastAsia" w:ascii="方正书宋_GBK" w:hAnsi="方正书宋_GBK" w:eastAsia="方正书宋_GBK"/>
          <w:sz w:val="28"/>
          <w:szCs w:val="24"/>
        </w:rPr>
        <w:t>。</w:t>
      </w:r>
    </w:p>
    <w:p w14:paraId="64FDC7EF">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2）负面清单存在不定期修订和调整，外商投资企业应及时关注，便于调整经营策略。如2024出台的《关于在医疗领域开展扩大开放试点工作的通知》在北京、上海、广东和海南特定区域允许外商投资企业从事人体干细胞、基因诊断与治疗技术开发和技术应用等。</w:t>
      </w:r>
    </w:p>
    <w:p w14:paraId="1A129DF1">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3）外商投资企业经营业务涉及境外服务提供者以跨境形式提供服务的，还需适用《跨境服务贸易特别管理措施（负面清单）》的有关规定，同时注意若我国参加的国际公约、签署的双多边条约另有规定的，应从其规定。</w:t>
      </w:r>
    </w:p>
    <w:p w14:paraId="68338CFD">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【法律规范指引】</w:t>
      </w:r>
    </w:p>
    <w:p w14:paraId="5DDA7625">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《中华人民共和国外商投资法》第4条、第28条、第36条。</w:t>
      </w:r>
    </w:p>
    <w:p w14:paraId="5A2B2E6B">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2. 股东资格问题</w:t>
      </w:r>
    </w:p>
    <w:p w14:paraId="37ACC7C5">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【法律提示要点】</w:t>
      </w:r>
    </w:p>
    <w:p w14:paraId="7ED6D0C0">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外商投资企业在中国境内投资的，应符合《外商投资准入负面清单》的相关要求，涉及负面清单中禁止投资及限制投资的领域且后续未满足外商投资准入特别管理措施要求的投资合同，将面临无法实际履行的风险。若上述外国投资者作为股权转让受让人或以股权代持为由，要求确认其股东身份并作显名登记的，亦将面临难以得到司法支持的风险。</w:t>
      </w:r>
    </w:p>
    <w:p w14:paraId="37D454EE">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【风险防控措施】</w:t>
      </w:r>
    </w:p>
    <w:p w14:paraId="3248D417">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1）外国投资者在投资前或受让股权前应先行查阅国务院发布或者批准发布的负面清单，依法依规办理相应投资项目核准、备案，按照外商投资信息报告制度的要求报送投资信息，确保持股情况符合负面清单列明的对股权、高管的要求，投资领域合法合规。</w:t>
      </w:r>
    </w:p>
    <w:p w14:paraId="46606559">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（2）外商投资企业应保持股东名实相符，降低股权代持风险，若为规避投资限制而进行股权代持的，代持行为效力可能会被否定。</w:t>
      </w:r>
    </w:p>
    <w:p w14:paraId="4BDAA5D1">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（3）外</w:t>
      </w:r>
      <w:r>
        <w:rPr>
          <w:rFonts w:hint="eastAsia" w:ascii="方正书宋_GBK" w:hAnsi="方正书宋_GBK" w:eastAsia="方正书宋_GBK"/>
          <w:spacing w:val="-6"/>
          <w:sz w:val="28"/>
          <w:szCs w:val="24"/>
        </w:rPr>
        <w:t>商投资企业应规范审查股东资格、履行股权转让报批义务并及时更新股东登记信息，确保股东变更依法有序，股东能够有效行使权利</w:t>
      </w:r>
      <w:r>
        <w:rPr>
          <w:rFonts w:hint="eastAsia" w:ascii="方正书宋_GBK" w:hAnsi="方正书宋_GBK" w:eastAsia="方正书宋_GBK"/>
          <w:sz w:val="28"/>
          <w:szCs w:val="24"/>
        </w:rPr>
        <w:t>。</w:t>
      </w:r>
    </w:p>
    <w:p w14:paraId="42E25BFC">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【法律规范指引】</w:t>
      </w:r>
    </w:p>
    <w:p w14:paraId="2FBB9E9C">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《中华人民共和国外商投资法》第34条、第36条、第37条；</w:t>
      </w:r>
    </w:p>
    <w:p w14:paraId="61DAF4BA">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《中华人民共和国外商投资法实施条例》第33条、第38条；</w:t>
      </w:r>
    </w:p>
    <w:p w14:paraId="1F8C3B29">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《最高人民法院关于适用〈中华人民共和国外商投资法〉若干问题的解释》第3条、第4条、第5条。</w:t>
      </w:r>
    </w:p>
    <w:p w14:paraId="4971B7DB">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3. 股权激励问题</w:t>
      </w:r>
    </w:p>
    <w:p w14:paraId="08B0A0FA">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【法律提示要点】</w:t>
      </w:r>
    </w:p>
    <w:p w14:paraId="14143D1C">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外商投资企业常以股权激励的方式吸引与激励高级管理人员及核心技术人员，但部分股权激励协议在权利设定、行权机制、违约责任等方面存在约定不明的情况，易产生行权争议。此外，涉股权激励的相关股权架构往往较为复杂，激励股权的价值评估标准及适用法律的选择等问题也常成为争议焦点。</w:t>
      </w:r>
    </w:p>
    <w:p w14:paraId="1C2D3521">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【风险防控措施】</w:t>
      </w:r>
    </w:p>
    <w:p w14:paraId="2ECE5340">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（1）外商投资企业通过境外上市公司实行股权激励计划的，应关注外汇登记、跨境资金流动等环节的合规要求，确保相关操作符合现行外汇管理政策及监管机构的规定。</w:t>
      </w:r>
    </w:p>
    <w:p w14:paraId="34D179C7">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（2）外商投资企业在设计与实施股权激励方案时，应对激励方式的具体类型、授予的前提条件、权利行使的程序、退出机制、期限设定以及违约处理等核心条款作出明确的规范，并依法履行公司决策程序。</w:t>
      </w:r>
    </w:p>
    <w:p w14:paraId="685F72D8">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（3）外商投资企业应充分考虑员工合法权益，在协议签署前，向激励对象充分披露信息，使其能够理解激励机制的内容与潜在风险，确保激励行为的合法性与有效性。</w:t>
      </w:r>
    </w:p>
    <w:p w14:paraId="0560CECB">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【法律规范指引】</w:t>
      </w:r>
    </w:p>
    <w:p w14:paraId="23689EFC">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《中华人民共和国公司法（2023修订）》第162条；</w:t>
      </w:r>
    </w:p>
    <w:p w14:paraId="05DEC7EC">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《国家外汇管理局关于境内个人参与境外上市公司股权激励计划外汇管理有关问题的通知》；</w:t>
      </w:r>
    </w:p>
    <w:p w14:paraId="1D33F20D">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《上市公司股权激励管理办法（2025年修正）》。</w:t>
      </w:r>
    </w:p>
    <w:p w14:paraId="3562DF9E">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4. 组织转型问题</w:t>
      </w:r>
    </w:p>
    <w:p w14:paraId="70B88159">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【法律提示要点】</w:t>
      </w:r>
    </w:p>
    <w:p w14:paraId="360165AF">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外商投资法》《外商投资法实施条例》对外商投资企业应参照《公司法》《合伙企业法》等法律进行组织形式、组织机构及活动准则的调整给予了五年过渡期，现过渡期已于2024年底届满，但仍有部分外商投资企业因种种原因未完成调整。部分未完成调整的外商投资企业存在最高权力机构不明等问题，面临决策机制失灵的风险，影响外商投资企业正常经营。</w:t>
      </w:r>
    </w:p>
    <w:p w14:paraId="23E1E6BF">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【风险防控措施】</w:t>
      </w:r>
    </w:p>
    <w:p w14:paraId="1718112C">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（1）外商投资企业应依照《外商投资法》《公司法》等相关法律规定及时调整其组织形式、组织机构及活动准则，并对章程进行必要的修订。</w:t>
      </w:r>
    </w:p>
    <w:p w14:paraId="0C5842B0">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（2）股东就相关组织转型达成新协议、作出新决议、签署新章程的，外商投资企业应及时向主管市场监督管理部门进行变更登记或备案，保持公示信息与企业内部信息的一致性。</w:t>
      </w:r>
    </w:p>
    <w:p w14:paraId="250168E6">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（3）外商投资企业为组织转型召开董事会或股东会并形成决议时，应注意召集程序与决议内容的合法合规，形成书面会议记录和书面决议。</w:t>
      </w:r>
    </w:p>
    <w:p w14:paraId="7533F941">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【法律规范指引】</w:t>
      </w:r>
    </w:p>
    <w:p w14:paraId="739C6EDF">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《中华人民共和国外商投资法》第31条；</w:t>
      </w:r>
    </w:p>
    <w:p w14:paraId="7823A6BB">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xml:space="preserve">　　《中华人民共和国外商投资法实施条例》第44条。 </w:t>
      </w:r>
    </w:p>
    <w:p w14:paraId="261C74B8">
      <w:pPr>
        <w:pStyle w:val="7"/>
        <w:spacing w:beforeLines="0" w:afterLines="0"/>
        <w:rPr>
          <w:rFonts w:hint="eastAsia" w:ascii="方正楷体_GBK" w:hAnsi="方正楷体_GBK" w:eastAsia="方正楷体_GBK"/>
          <w:sz w:val="28"/>
          <w:szCs w:val="24"/>
        </w:rPr>
      </w:pPr>
      <w:r>
        <w:rPr>
          <w:rFonts w:hint="eastAsia" w:ascii="方正楷体_GBK" w:hAnsi="方正楷体_GBK" w:eastAsia="方正楷体_GBK"/>
          <w:sz w:val="28"/>
          <w:szCs w:val="24"/>
        </w:rPr>
        <w:t>　　（二）公司市场交易法律提示</w:t>
      </w:r>
    </w:p>
    <w:p w14:paraId="4E772FF8">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1. 合同订立问题</w:t>
      </w:r>
    </w:p>
    <w:p w14:paraId="779EF4FD">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【法律提示要点】</w:t>
      </w:r>
    </w:p>
    <w:p w14:paraId="0DDE767C">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外商投资企业在开展跨境贸易活动时易忽视或较难审核境外交易方主体资格，产生误认交易相对方、误信无代理权的联系人或与已丧失主体资格的境外企业进行交易的风险。此外，跨境交易往往较难实地查验合同标的物，外商投资企业如何将合同标的物进行特定化、确定化存在困难，而部分标的物还可能存在技术性贸易措施等非关税壁垒，涉及质量标准、检测认证等多个方面，外商投资企业若疏于了解相关政策要求，易生经营风险。</w:t>
      </w:r>
    </w:p>
    <w:p w14:paraId="7CFAB884">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【风险防控措施】</w:t>
      </w:r>
    </w:p>
    <w:p w14:paraId="5BC32B7F">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1）注意审核交易相对方的真实主体资格以及联系人的代理权限，及时审核交易联系人身份并要求提供授权委托书等证明材料，要求交易相对方提供公司主体资格实际存续的证明材料，通过相对方所在地的企业信息公示网站、相对方的官方网站等公开信息交叉核实。</w:t>
      </w:r>
    </w:p>
    <w:p w14:paraId="784AF564">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2）明确约定标的物信息，包括具体型号、规格等特定条件，注意审查或公平合理设定标的物交付、价款支付、违约责任等重要条款，与交易相对方明确标的物的质量要求或标准，并明确产生质量问题的救济措施。</w:t>
      </w:r>
    </w:p>
    <w:p w14:paraId="1AEF6EF6">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3）了解交易相对方所在国家或地区的贸易政策、投资保护协定等重要政策，可通过上海技术性贸易措施信息服务平台、国别贸易投资环境信息网、出口管制信息网等官方网站查询反倾销反补贴调查、保障措施调查等信息。</w:t>
      </w:r>
    </w:p>
    <w:p w14:paraId="1467983B">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【法律规范指引】</w:t>
      </w:r>
    </w:p>
    <w:p w14:paraId="2EA0B3E7">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《中华人民共和国民法典》第162条、第465条、第470条、第490条、第509条。</w:t>
      </w:r>
    </w:p>
    <w:p w14:paraId="22E754BD">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2. 合同履行问题</w:t>
      </w:r>
    </w:p>
    <w:p w14:paraId="2B565788">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【法律提示要点】</w:t>
      </w:r>
    </w:p>
    <w:p w14:paraId="33B7DF1B">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外商投资企业从事国际货物贸易时往往面临跨境货物运输风险，部分对运输时效要求较高的生鲜商品的运输延迟损失风险较高。同时，国际货物运输过程常有多个境外主体参与，外商投资企业较难收集掌握履行、验收相关原始凭证，不利于后期维权。此外，对于营业地在不同缔约国的当事人之间订立的货物销售合同，《联合国国际货物销售合同公约》（以下简称CISG）可以自动适用，外商投资企业易忽略CISG的适用场景而导致部分权利义务与预期不一致的风险。</w:t>
      </w:r>
    </w:p>
    <w:p w14:paraId="7FAEFBE6">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【风险防控措施】</w:t>
      </w:r>
    </w:p>
    <w:p w14:paraId="528BD368">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1）审慎选择具备资质的货运代理人和承运人，注意承运人的限制或免除赔偿责任相关条款；对于不同特性的货物选择适当的运输方式并进行妥善包装；关注单据流转，注意留存相关单据原件、电子件或录制视频等，以便对合同履行过程形成完整证据链。</w:t>
      </w:r>
    </w:p>
    <w:p w14:paraId="57ACB1F1">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2）货物交付时应按照合同约定的方式及时核验货物质量，固定验收环节相关证据；在各个付款节点应严格审核确认联系人提供的收款信息，避免误信账户或支付错误造成损失；结合交易特性选择合适的付款方式，注意跟单信用证的流转与其支付条件，关注汇率波动风险。</w:t>
      </w:r>
    </w:p>
    <w:p w14:paraId="19B358D5">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（3）交易双方应了解CISG中合同权利义务的相关规定，在交易合同中明确国际公约是否适用，确保合同履行内容符合双方订立预期。</w:t>
      </w:r>
    </w:p>
    <w:p w14:paraId="647477E1">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【法律规范指引】</w:t>
      </w:r>
    </w:p>
    <w:p w14:paraId="246F4457">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《中华人民共和国民法典》第510条、第511条、第604条、第605条、第606条、第607条、第608条、第610条、第615条、第619条、第620条、第621条、第626条、第628条、第634条；</w:t>
      </w:r>
    </w:p>
    <w:p w14:paraId="6D78ACBB">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《联合国国际货物销售合同公约》第1条。</w:t>
      </w:r>
    </w:p>
    <w:p w14:paraId="2D25068D">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3. 合同救济问题</w:t>
      </w:r>
    </w:p>
    <w:p w14:paraId="2A35B681">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【风险提示要点】</w:t>
      </w:r>
    </w:p>
    <w:p w14:paraId="65077313">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外商投资企业从事跨境交易活动时因涉外因素居多或出于交易背景的考虑，在合同文本制作时可能选择适用域外法律、选择域外争议解决机构，而合同中的法律适用条款、争议解决条款若涉及域外的，外商投资企业的维权成本往往较高，维权周期较长，后续执行也面临程序复杂、要求严格、耗时长久等风险。</w:t>
      </w:r>
    </w:p>
    <w:p w14:paraId="109B1B57">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【风险防控措施】</w:t>
      </w:r>
    </w:p>
    <w:p w14:paraId="3666E6F8">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（1）慎重选择争议解决方式，充分考虑解纷成本与后续执行问题。一方面要注意争议解决方式的便利性和可行性，另一方面要确保争议解决条款的合法明确性，防止因约定不明而导致争议解决条款无效。</w:t>
      </w:r>
    </w:p>
    <w:p w14:paraId="2CB44FAC">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（2）交易双方可以依法选择涉外民事关系适用的法律，但不得违反我国法律相关强制性规定。</w:t>
      </w:r>
    </w:p>
    <w:p w14:paraId="359EADC9">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【法律规范指引】</w:t>
      </w:r>
    </w:p>
    <w:p w14:paraId="352E6EED">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《中华人民共和国涉外民事关系法律适用法》第2条、第3条、第4条、第10条、第41条；</w:t>
      </w:r>
    </w:p>
    <w:p w14:paraId="3FCFEEFB">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《中华人民共和国民事诉讼法（2023年修正）》第271条、第276条、第302条、第303条。</w:t>
      </w:r>
    </w:p>
    <w:p w14:paraId="1F8E980D">
      <w:pPr>
        <w:pStyle w:val="7"/>
        <w:spacing w:beforeLines="0" w:afterLines="0"/>
        <w:rPr>
          <w:rFonts w:hint="eastAsia" w:ascii="方正楷体_GBK" w:hAnsi="方正楷体_GBK" w:eastAsia="方正楷体_GBK"/>
          <w:sz w:val="28"/>
          <w:szCs w:val="24"/>
        </w:rPr>
      </w:pPr>
      <w:r>
        <w:rPr>
          <w:rFonts w:hint="eastAsia" w:ascii="方正楷体_GBK" w:hAnsi="方正楷体_GBK" w:eastAsia="方正楷体_GBK"/>
          <w:sz w:val="28"/>
          <w:szCs w:val="24"/>
        </w:rPr>
        <w:t>　　（三）诉讼程序事项法律提示</w:t>
      </w:r>
    </w:p>
    <w:p w14:paraId="79063BEF">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1. 纠纷管辖问题</w:t>
      </w:r>
    </w:p>
    <w:p w14:paraId="3AB803FF">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【法律提示要点】</w:t>
      </w:r>
    </w:p>
    <w:p w14:paraId="67585975">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外商投资企业在中国境内开展的商业活动往往带有涉外因素，具有涉外因素的交易双方可以书面明示约定选择人民法院管辖。但若管辖约定不明或约定违反强制性规定，亦或同一交易中多份合同存在不同的管辖约定，将导致案件出现主管或管辖冲突，当事人诉讼维权目的难以得到保障，也可能面临裁判不被承认和执行的风险。</w:t>
      </w:r>
    </w:p>
    <w:p w14:paraId="439425B2">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【风险防控措施】</w:t>
      </w:r>
    </w:p>
    <w:p w14:paraId="2262AAD9">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（1）在订立管辖条款时应选择与交易具有一定联系的管辖法院，尽量选择排他性管辖，避免发生平行诉讼。</w:t>
      </w:r>
    </w:p>
    <w:p w14:paraId="28C6BDDB">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（2）规范制定管辖条款。可参考人民法院或仲裁机构发布的管辖协议示范条款，明确所选择的争议解决机构的准确中文或其他语言的名称，对主从合同约定相同的争议解决方式，从而实现纠纷的一次性解决。</w:t>
      </w:r>
    </w:p>
    <w:p w14:paraId="2BE45230">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3）依法合理行使管辖异议权利。对法院主管或管辖存有异议时，可从是否存在仲裁条款、是否符合专属管辖、是否存在有效管辖协议、人民法院审理案件和当事人参加诉讼是否均明显不便等方面进行考量，若确有符合法律规定的管辖异议情形的，被起诉方应在答辩期内及时向法院提交异议请求与证明材料。</w:t>
      </w:r>
    </w:p>
    <w:p w14:paraId="3EB7FA2D">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【法律规范指引】</w:t>
      </w:r>
    </w:p>
    <w:p w14:paraId="077F6E2C">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《中华人民共和国民事诉讼法（2023年修正）》第130条、第276条、第277条、第278条、第279条、第280条、第281条、第282条。</w:t>
      </w:r>
    </w:p>
    <w:p w14:paraId="6FD39389">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2. 文书送达问题</w:t>
      </w:r>
    </w:p>
    <w:p w14:paraId="720C8FFE">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【法律提示要点】</w:t>
      </w:r>
    </w:p>
    <w:p w14:paraId="3FF12EC7">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涉外案件若不能实现有效送达，既严重影响审判效率，又可能阻碍人民法院判决后续在境外的承认和执行。外商投资企业的股东、董事、监事、高级管理人员或关联公司常位于境外，交易相对方为境外主体的情况也较多，在此情形下，外商投资企业的经营交易活动、公司管理决策常通过线上开展。因此，外商投资企业涉诉后常难以提供相关当事人的有效送达地址或电子送达联系方式，导致诉讼周期长、维权成本高。</w:t>
      </w:r>
    </w:p>
    <w:p w14:paraId="3873C0D6">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【风险防控措施】</w:t>
      </w:r>
    </w:p>
    <w:p w14:paraId="7F8F7D3E">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1）通过企业信用信息公示系统或境外主体所在国的企业信息公示网站等途径，核实交易相对方提供的注册地址、经营地址、官方邮箱、联系电话等信息是否真实有效，可在交易合同中明确约定法律文书送达地址，并定期更新相对方的有效联系方式。</w:t>
      </w:r>
    </w:p>
    <w:p w14:paraId="570F8D6D">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2）及时记录留存交易相对方或诉讼相对方的电子联系方式，除受送达人所在国法律禁止的方式之外，能够确认受送达人收悉的电子方式均可作为可参考的送达方式。受送达人同意采用电子方式送达的，应当在向法院提交的送达地址确认书中予以确认。</w:t>
      </w:r>
    </w:p>
    <w:p w14:paraId="0866E643">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3）收集境外主体相关境内联络人的信息，如在境内设立的独资企业、代表机构、分支机构，指定有权接受送达的业务代办人；关注境外主体的法定代表人或者主要负责人是否位于中国境内，境外自然人是否在境内设立法人、是否在其他组织担任法定代表人或者主要负责人。</w:t>
      </w:r>
    </w:p>
    <w:p w14:paraId="6A827828">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【法律规范指引】</w:t>
      </w:r>
    </w:p>
    <w:p w14:paraId="527FF0BD">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《中华人民共和国民事诉讼法（2023年修正）》第283条；</w:t>
      </w:r>
    </w:p>
    <w:p w14:paraId="0F1E8FC0">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《最高人民法院关于适用〈中华人民共和国民事诉讼法〉的解释》第135、136、137条；</w:t>
      </w:r>
    </w:p>
    <w:p w14:paraId="60C2A88E">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3. 公证认证问题</w:t>
      </w:r>
    </w:p>
    <w:p w14:paraId="4F602EAE">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【风险提示要点】</w:t>
      </w:r>
    </w:p>
    <w:p w14:paraId="3ACEB3C0">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外国自然人参加诉讼，应当向人民法院提交护照等用以证明自己身份的证件；外国企业或组织参加诉讼应向人民法院提交经过公证、认证的身份证明文件；代表外国企业或者组织参加诉讼的人应提交经过公证、认证的委托代理手续。若未及时提交或提交的证明材料不符合规范性要求，可能导致诉讼主体不适格问题，或造成上诉期经过未能有效上诉、答辩期内未有效答辩等影响诉讼权利实现的风险。</w:t>
      </w:r>
    </w:p>
    <w:p w14:paraId="156695B2">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【风险防控措施】</w:t>
      </w:r>
    </w:p>
    <w:p w14:paraId="76DC52F8">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1）境外主体（如外商投资企业的股东、境外交易相对方）参加诉讼，须提交经过公证认证的主体资格证明文件。“公证”指经其所在国公证机关公证；“认证”指经中华人民共和国驻该国使领馆认证，或者履行中华人民共和国与该所在国订立的有关条约中规定的证明手续；“所在国”指外国企业或者组织的设立登记地国，也可以是办理了营业登记手续的第三国。</w:t>
      </w:r>
    </w:p>
    <w:p w14:paraId="6ABCA412">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（2）若外国企业或组织的设立登记地国为《取消外国公文书认证要求的公约》缔约国，上述相应认证文件可变更为附加证明书，无需办理我国驻该国使领馆认证。</w:t>
      </w:r>
    </w:p>
    <w:p w14:paraId="304D9335">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3）外国企业、组织或自然人在我国境内形成的委托手续，可以由我国公证机构公证签署或在人民法院法官的见证下签署授权委托书，无需另行认证。能在境内参加诉讼的外国自然人可以持护照、永久居留证等证件到法院参加诉讼，无需办理公证认证手续。</w:t>
      </w:r>
    </w:p>
    <w:p w14:paraId="61A2BD9C">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【法律规范指引】</w:t>
      </w:r>
    </w:p>
    <w:p w14:paraId="5E40EECD">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《中华人民共和国民事诉讼法（2023年修正）》第275条；</w:t>
      </w:r>
    </w:p>
    <w:p w14:paraId="1124B62B">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《最高人民法院关于适用〈中华人民共和国民事诉讼法〉解释（2022年修正）》第521条；</w:t>
      </w:r>
    </w:p>
    <w:p w14:paraId="0D774155">
      <w:pPr>
        <w:ind w:firstLine="567"/>
        <w:rPr>
          <w:rFonts w:hint="eastAsia" w:ascii="方正书宋_GBK" w:hAnsi="方正书宋_GBK" w:eastAsia="方正书宋_GBK"/>
          <w:sz w:val="28"/>
          <w:szCs w:val="24"/>
        </w:rPr>
      </w:pPr>
      <w:r>
        <w:rPr>
          <w:rFonts w:hint="eastAsia" w:ascii="方正书宋_GBK" w:hAnsi="方正书宋_GBK" w:eastAsia="方正书宋_GBK"/>
          <w:sz w:val="28"/>
          <w:szCs w:val="24"/>
        </w:rPr>
        <w:t>《最高人民法院关于民事诉讼证据的若干规定（2019年修正）》第16条、第17条。</w:t>
      </w:r>
    </w:p>
    <w:p w14:paraId="1AD5F5C8">
      <w:pPr>
        <w:rPr>
          <w:rFonts w:hint="eastAsia" w:ascii="方正书宋_GBK" w:hAnsi="方正书宋_GBK" w:eastAsia="方正书宋_GBK"/>
          <w:sz w:val="28"/>
          <w:szCs w:val="24"/>
        </w:rPr>
      </w:pPr>
      <w:r>
        <w:rPr>
          <w:rFonts w:hint="eastAsia" w:ascii="方正书宋_GBK" w:hAnsi="方正书宋_GBK" w:eastAsia="方正书宋_GBK"/>
          <w:sz w:val="28"/>
          <w:szCs w:val="24"/>
        </w:rPr>
        <w:br w:type="page"/>
      </w:r>
    </w:p>
    <w:p w14:paraId="5B6041D7">
      <w:pPr>
        <w:pStyle w:val="7"/>
        <w:spacing w:beforeLines="0" w:afterLines="0"/>
        <w:rPr>
          <w:rFonts w:hint="eastAsia" w:ascii="方正书宋_GBK" w:hAnsi="方正书宋_GBK" w:eastAsia="方正书宋_GBK"/>
          <w:sz w:val="28"/>
          <w:szCs w:val="24"/>
        </w:rPr>
      </w:pPr>
    </w:p>
    <w:p w14:paraId="38FA4710">
      <w:pPr>
        <w:pStyle w:val="7"/>
        <w:spacing w:beforeLines="0" w:afterLines="0"/>
        <w:jc w:val="center"/>
        <w:rPr>
          <w:rFonts w:hint="eastAsia" w:ascii="方正黑体_GBK" w:hAnsi="方正黑体_GBK" w:eastAsia="方正黑体_GBK"/>
          <w:sz w:val="36"/>
          <w:szCs w:val="24"/>
        </w:rPr>
      </w:pPr>
      <w:r>
        <w:rPr>
          <w:rFonts w:hint="eastAsia" w:ascii="方正黑体_GBK" w:hAnsi="方正黑体_GBK" w:eastAsia="方正黑体_GBK"/>
          <w:sz w:val="36"/>
          <w:szCs w:val="24"/>
        </w:rPr>
        <w:t>结   语</w:t>
      </w:r>
    </w:p>
    <w:p w14:paraId="5F35944A">
      <w:pPr>
        <w:pStyle w:val="7"/>
        <w:spacing w:beforeLines="0" w:afterLines="0"/>
        <w:rPr>
          <w:rFonts w:hint="eastAsia" w:ascii="方正书宋_GBK" w:hAnsi="方正书宋_GBK" w:eastAsia="方正书宋_GBK"/>
          <w:sz w:val="28"/>
          <w:szCs w:val="24"/>
        </w:rPr>
      </w:pPr>
    </w:p>
    <w:p w14:paraId="1F99DFC6">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五载春华秋实，法治护航开放。《外商投资法》的实施，标志着我国外商投资法律制度迈入新时代，为更高水平对外开放筑牢了法治基石。五年来，我国对外资市场准入持续放宽，投资环境不断优化，外商投资管理体系日趋完善，外资企业深耕中国市场的信心更加坚定，为中国经济注入源源不断的活力。</w:t>
      </w:r>
    </w:p>
    <w:p w14:paraId="4C0CDBC6">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浦东法院将立足新发展阶段，紧扣“稳外资、优环境、促改革”，以更高标准推进涉外法治能力建设：一是强化法治保障，准确适用《外商投资法》等法律法规及国际条约、国际准则，依法平等保护中外企业合法权益，增强外商投资信心；二是创新审判机制，进一步完善涉外商事纠纷集中审理与专业化审判机制，形成更多具有示范意义的典型案例、首例案例，稳定中外主体对司法裁判的预期；三是拓展多元解纷，探索创新商事调解工作机制，为外商投资企业提供更加高效、便捷、实质解纷的司法服务；四是加强涉外法治人才队伍建设，培养政治过硬、业务精湛，具有国际视野和世界眼光的高素质专业法官队伍。</w:t>
      </w:r>
    </w:p>
    <w:p w14:paraId="490D30F9">
      <w:pPr>
        <w:ind w:firstLine="567"/>
        <w:rPr>
          <w:rFonts w:hint="eastAsia" w:ascii="方正书宋_GBK" w:hAnsi="方正书宋_GBK" w:eastAsia="方正书宋_GBK"/>
          <w:sz w:val="28"/>
          <w:szCs w:val="24"/>
        </w:rPr>
      </w:pPr>
      <w:r>
        <w:rPr>
          <w:rFonts w:hint="eastAsia" w:ascii="方正书宋_GBK" w:hAnsi="方正书宋_GBK" w:eastAsia="方正书宋_GBK"/>
          <w:sz w:val="28"/>
          <w:szCs w:val="24"/>
        </w:rPr>
        <w:t>奋楫扬帆正当时，砥砺前行再启程。浦东法院将以《外商投资法》实施五周年为新起点，以司法之力护航中外企业行稳致远，以法治智慧回应高水平对外开放的时代命题，为加快建设市场化、法治化、国际化一流营商环境提供更加有力的司法服务保障，以审判工作现代化支撑和服务中国式现代化。</w:t>
      </w:r>
    </w:p>
    <w:sectPr>
      <w:footerReference r:id="rId4" w:type="default"/>
      <w:pgSz w:w="11906" w:h="16838"/>
      <w:pgMar w:top="1134" w:right="1134" w:bottom="1134" w:left="1134" w:header="720" w:footer="720" w:gutter="0"/>
      <w:lnNumType w:countBy="0" w:distance="36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 w:name="Adobe 宋体 Std L">
    <w:panose1 w:val="02020300000000000000"/>
    <w:charset w:val="86"/>
    <w:family w:val="auto"/>
    <w:pitch w:val="default"/>
    <w:sig w:usb0="00000001" w:usb1="0A0F1810" w:usb2="00000016" w:usb3="00000000" w:csb0="00060007" w:csb1="00000000"/>
  </w:font>
  <w:font w:name="方正大黑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E7247">
    <w:pPr>
      <w:pStyle w:val="2"/>
      <w:tabs>
        <w:tab w:val="center" w:pos="4819"/>
        <w:tab w:val="clear" w:pos="4153"/>
      </w:tabs>
      <w:rPr>
        <w:sz w:val="21"/>
        <w:szCs w:val="21"/>
      </w:rPr>
    </w:pPr>
    <w:r>
      <w:rPr>
        <w:rFonts w:hint="eastAsia"/>
        <w:sz w:val="21"/>
        <w:szCs w:val="21"/>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55085">
    <w:pPr>
      <w:pStyle w:val="2"/>
      <w:tabs>
        <w:tab w:val="center" w:pos="4819"/>
        <w:tab w:val="clear" w:pos="4153"/>
      </w:tabs>
      <w:rPr>
        <w:sz w:val="21"/>
        <w:szCs w:val="21"/>
      </w:rPr>
    </w:pPr>
    <w:r>
      <w:rPr>
        <w:sz w:val="21"/>
        <w:szCs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EB9E05">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2EB9E05">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21"/>
        <w:szCs w:val="21"/>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D33FBF"/>
    <w:rsid w:val="02445238"/>
    <w:rsid w:val="1D1125BF"/>
    <w:rsid w:val="4C9C5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eastAsia="宋体"/>
      <w:kern w:val="2"/>
      <w:sz w:val="21"/>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无段落样式]"/>
    <w:unhideWhenUsed/>
    <w:uiPriority w:val="99"/>
    <w:pPr>
      <w:widowControl w:val="0"/>
      <w:autoSpaceDE w:val="0"/>
      <w:autoSpaceDN w:val="0"/>
      <w:adjustRightInd w:val="0"/>
      <w:spacing w:beforeLines="0" w:afterLines="0" w:line="288" w:lineRule="auto"/>
      <w:jc w:val="both"/>
      <w:textAlignment w:val="center"/>
    </w:pPr>
    <w:rPr>
      <w:rFonts w:hint="eastAsia" w:ascii="宋体" w:hAnsi="宋体" w:eastAsia="宋体"/>
      <w:color w:val="000000"/>
      <w:sz w:val="24"/>
      <w:szCs w:val="24"/>
      <w:lang w:val="zh-CN"/>
    </w:rPr>
  </w:style>
  <w:style w:type="paragraph" w:customStyle="1" w:styleId="7">
    <w:name w:val="[基本段落]"/>
    <w:basedOn w:val="6"/>
    <w:unhideWhenUsed/>
    <w:uiPriority w:val="99"/>
    <w:pPr>
      <w:spacing w:beforeLines="0" w:afterLines="0"/>
    </w:pPr>
    <w:rPr>
      <w:rFonts w:hint="eastAsia"/>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1.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2.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manualLayout>
          <c:layoutTarget val="inner"/>
          <c:xMode val="edge"/>
          <c:yMode val="edge"/>
          <c:x val="0.0826286542643151"/>
          <c:y val="0.128347650328449"/>
          <c:w val="0.890794877989853"/>
          <c:h val="0.590870810173488"/>
        </c:manualLayout>
      </c:layout>
      <c:barChart>
        <c:barDir val="col"/>
        <c:grouping val="clustered"/>
        <c:varyColors val="0"/>
        <c:ser>
          <c:idx val="0"/>
          <c:order val="0"/>
          <c:tx>
            <c:strRef>
              <c:f>"收案"</c:f>
              <c:strCache>
                <c:ptCount val="1"/>
                <c:pt idx="0">
                  <c:v>收案</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2020</c:v>
                </c:pt>
                <c:pt idx="1">
                  <c:v>2021</c:v>
                </c:pt>
                <c:pt idx="2">
                  <c:v>2022</c:v>
                </c:pt>
                <c:pt idx="3">
                  <c:v>2023</c:v>
                </c:pt>
                <c:pt idx="4">
                  <c:v>2024</c:v>
                </c:pt>
              </c:numCache>
            </c:numRef>
          </c:cat>
          <c:val>
            <c:numRef>
              <c:f>Sheet1!$B$2:$B$6</c:f>
              <c:numCache>
                <c:formatCode>General</c:formatCode>
                <c:ptCount val="5"/>
                <c:pt idx="0">
                  <c:v>1950</c:v>
                </c:pt>
                <c:pt idx="1">
                  <c:v>1854</c:v>
                </c:pt>
                <c:pt idx="2">
                  <c:v>1862</c:v>
                </c:pt>
                <c:pt idx="3">
                  <c:v>2066</c:v>
                </c:pt>
                <c:pt idx="4">
                  <c:v>2207</c:v>
                </c:pt>
              </c:numCache>
            </c:numRef>
          </c:val>
        </c:ser>
        <c:ser>
          <c:idx val="1"/>
          <c:order val="1"/>
          <c:tx>
            <c:strRef>
              <c:f>"结案"</c:f>
              <c:strCache>
                <c:ptCount val="1"/>
                <c:pt idx="0">
                  <c:v>结案</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2020</c:v>
                </c:pt>
                <c:pt idx="1">
                  <c:v>2021</c:v>
                </c:pt>
                <c:pt idx="2">
                  <c:v>2022</c:v>
                </c:pt>
                <c:pt idx="3">
                  <c:v>2023</c:v>
                </c:pt>
                <c:pt idx="4">
                  <c:v>2024</c:v>
                </c:pt>
              </c:numCache>
            </c:numRef>
          </c:cat>
          <c:val>
            <c:numRef>
              <c:f>Sheet1!$C$2:$C$6</c:f>
              <c:numCache>
                <c:formatCode>General</c:formatCode>
                <c:ptCount val="5"/>
                <c:pt idx="0">
                  <c:v>1910</c:v>
                </c:pt>
                <c:pt idx="1">
                  <c:v>1885</c:v>
                </c:pt>
                <c:pt idx="2">
                  <c:v>1866</c:v>
                </c:pt>
                <c:pt idx="3">
                  <c:v>1877</c:v>
                </c:pt>
                <c:pt idx="4">
                  <c:v>2107</c:v>
                </c:pt>
              </c:numCache>
            </c:numRef>
          </c:val>
        </c:ser>
        <c:dLbls>
          <c:showLegendKey val="0"/>
          <c:showVal val="1"/>
          <c:showCatName val="0"/>
          <c:showSerName val="0"/>
          <c:showPercent val="0"/>
          <c:showBubbleSize val="0"/>
        </c:dLbls>
        <c:gapWidth val="246"/>
        <c:overlap val="-28"/>
        <c:axId val="628532464"/>
        <c:axId val="653562524"/>
      </c:barChart>
      <c:catAx>
        <c:axId val="628532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653562524"/>
        <c:crosses val="autoZero"/>
        <c:auto val="1"/>
        <c:lblAlgn val="ctr"/>
        <c:lblOffset val="100"/>
        <c:noMultiLvlLbl val="0"/>
      </c:catAx>
      <c:valAx>
        <c:axId val="653562524"/>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628532464"/>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000" b="0" i="0" u="none" strike="noStrike" kern="1200" baseline="0">
                <a:solidFill>
                  <a:sysClr val="windowText" lastClr="000000"/>
                </a:solidFill>
                <a:latin typeface="方正楷体_GB2312" panose="02000000000000000000" charset="-122"/>
                <a:ea typeface="方正楷体_GB2312" panose="02000000000000000000" charset="-122"/>
                <a:cs typeface="方正楷体_GB2312" panose="02000000000000000000" charset="-122"/>
                <a:sym typeface="方正楷体_GB2312" panose="02000000000000000000" charset="-122"/>
              </a:defRPr>
            </a:pPr>
          </a:p>
        </c:txPr>
      </c:legendEntry>
      <c:legendEntry>
        <c:idx val="1"/>
        <c:txPr>
          <a:bodyPr rot="0" spcFirstLastPara="0" vertOverflow="ellipsis" vert="horz" wrap="square" anchor="ctr" anchorCtr="1"/>
          <a:lstStyle/>
          <a:p>
            <a:pPr>
              <a:defRPr lang="zh-CN" sz="1000" b="0" i="0" u="none" strike="noStrike" kern="1200" baseline="0">
                <a:solidFill>
                  <a:sysClr val="windowText" lastClr="000000"/>
                </a:solidFill>
                <a:latin typeface="方正楷体_GB2312" panose="02000000000000000000" charset="-122"/>
                <a:ea typeface="方正楷体_GB2312" panose="02000000000000000000" charset="-122"/>
                <a:cs typeface="方正楷体_GB2312" panose="02000000000000000000" charset="-122"/>
                <a:sym typeface="方正楷体_GB2312" panose="02000000000000000000" charset="-122"/>
              </a:defRPr>
            </a:pPr>
          </a:p>
        </c:txPr>
      </c:legendEntry>
      <c:layout>
        <c:manualLayout>
          <c:xMode val="edge"/>
          <c:yMode val="edge"/>
          <c:x val="0.393814931142788"/>
          <c:y val="0.827690752905508"/>
          <c:w val="0.224933558830635"/>
          <c:h val="0.056088933804952"/>
        </c:manualLayout>
      </c:layout>
      <c:overlay val="0"/>
      <c:spPr>
        <a:noFill/>
        <a:ln>
          <a:noFill/>
        </a:ln>
        <a:effectLst/>
      </c:spPr>
      <c:txPr>
        <a:bodyPr rot="0" spcFirstLastPara="0" vertOverflow="ellipsis" vert="horz" wrap="square" anchor="ctr" anchorCtr="1"/>
        <a:lstStyle/>
        <a:p>
          <a:pPr>
            <a:defRPr lang="zh-CN" sz="1000" b="0" i="0" u="none" strike="noStrike" kern="1200" baseline="0">
              <a:solidFill>
                <a:sysClr val="windowText" lastClr="000000"/>
              </a:solidFill>
              <a:latin typeface="方正楷体_GB2312" panose="02000000000000000000" charset="-122"/>
              <a:ea typeface="方正楷体_GB2312" panose="02000000000000000000" charset="-122"/>
              <a:cs typeface="方正楷体_GB2312" panose="02000000000000000000" charset="-122"/>
              <a:sym typeface="方正楷体_GB2312" panose="02000000000000000000" charset="-122"/>
            </a:defRPr>
          </a:pPr>
        </a:p>
      </c:txPr>
    </c:legend>
    <c:plotVisOnly val="1"/>
    <c:dispBlanksAs val="gap"/>
    <c:showDLblsOverMax val="0"/>
    <c:extLst>
      <c:ext uri="{0b15fc19-7d7d-44ad-8c2d-2c3a37ce22c3}">
        <chartProps xmlns="https://web.wps.cn/et/2018/main" chartId="{c8ff33af-de0c-4d95-a14c-7055206a0c6c}"/>
      </c:ext>
    </c:extLst>
  </c:chart>
  <c:spPr>
    <a:solidFill>
      <a:schemeClr val="bg1"/>
    </a:solidFill>
    <a:ln w="9525" cap="flat" cmpd="sng" algn="ctr">
      <a:solidFill>
        <a:schemeClr val="tx1">
          <a:lumMod val="15000"/>
          <a:lumOff val="85000"/>
        </a:schemeClr>
      </a:solid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销售额</c:v>
                </c:pt>
              </c:strCache>
            </c:strRef>
          </c:tx>
          <c:spPr>
            <a:ln w="76200" cmpd="thickThin">
              <a:solidFill>
                <a:schemeClr val="bg1"/>
              </a:solidFill>
            </a:ln>
            <a:sp3d contourW="76200"/>
          </c:spPr>
          <c:explosion val="0"/>
          <c:dPt>
            <c:idx val="0"/>
            <c:bubble3D val="0"/>
            <c:spPr>
              <a:solidFill>
                <a:schemeClr val="accent1"/>
              </a:solidFill>
              <a:ln w="76200" cmpd="thickThin">
                <a:solidFill>
                  <a:schemeClr val="bg1"/>
                </a:solidFill>
              </a:ln>
              <a:effectLst/>
              <a:sp3d contourW="76200"/>
            </c:spPr>
          </c:dPt>
          <c:dPt>
            <c:idx val="1"/>
            <c:bubble3D val="0"/>
            <c:spPr>
              <a:solidFill>
                <a:schemeClr val="accent2"/>
              </a:solidFill>
              <a:ln w="76200" cmpd="thickThin">
                <a:solidFill>
                  <a:schemeClr val="bg1"/>
                </a:solidFill>
              </a:ln>
              <a:effectLst/>
              <a:sp3d contourW="76200"/>
            </c:spPr>
          </c:dPt>
          <c:dPt>
            <c:idx val="2"/>
            <c:bubble3D val="0"/>
            <c:spPr>
              <a:solidFill>
                <a:schemeClr val="accent3"/>
              </a:solidFill>
              <a:ln w="76200" cmpd="thickThin">
                <a:solidFill>
                  <a:schemeClr val="bg1"/>
                </a:solidFill>
              </a:ln>
              <a:effectLst/>
              <a:sp3d contourW="76200"/>
            </c:spPr>
          </c:dPt>
          <c:dPt>
            <c:idx val="3"/>
            <c:bubble3D val="0"/>
            <c:spPr>
              <a:solidFill>
                <a:schemeClr val="accent4"/>
              </a:solidFill>
              <a:ln w="76200" cmpd="thickThin">
                <a:solidFill>
                  <a:schemeClr val="bg1"/>
                </a:solidFill>
              </a:ln>
              <a:effectLst/>
              <a:sp3d contourW="76200"/>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买卖合同纠纷</c:v>
                </c:pt>
                <c:pt idx="1">
                  <c:v>服务合同纠纷</c:v>
                </c:pt>
                <c:pt idx="2">
                  <c:v>公司类案件</c:v>
                </c:pt>
                <c:pt idx="3">
                  <c:v>其他合同纠纷</c:v>
                </c:pt>
              </c:strCache>
            </c:strRef>
          </c:cat>
          <c:val>
            <c:numRef>
              <c:f>Sheet1!$B$2:$B$5</c:f>
              <c:numCache>
                <c:formatCode>General</c:formatCode>
                <c:ptCount val="4"/>
                <c:pt idx="0">
                  <c:v>3567</c:v>
                </c:pt>
                <c:pt idx="1">
                  <c:v>1220</c:v>
                </c:pt>
                <c:pt idx="2">
                  <c:v>770</c:v>
                </c:pt>
                <c:pt idx="3">
                  <c:v>4382</c:v>
                </c:pt>
              </c:numCache>
            </c:numRef>
          </c:val>
        </c:ser>
        <c:ser>
          <c:idx val="1"/>
          <c:order val="1"/>
          <c:tx>
            <c:strRef>
              <c:f>Sheet1!$C$1</c:f>
              <c:strCache>
                <c:ptCount val="1"/>
                <c:pt idx="0">
                  <c:v>列2</c:v>
                </c:pt>
              </c:strCache>
            </c:strRef>
          </c:tx>
          <c:spPr>
            <a:ln w="76200" cmpd="thickThin">
              <a:solidFill>
                <a:schemeClr val="bg1"/>
              </a:solidFill>
            </a:ln>
            <a:sp3d contourW="76200"/>
          </c:spPr>
          <c:explosion val="0"/>
          <c:dPt>
            <c:idx val="0"/>
            <c:bubble3D val="0"/>
            <c:spPr>
              <a:solidFill>
                <a:schemeClr val="accent1"/>
              </a:solidFill>
              <a:ln w="76200" cmpd="thickThin">
                <a:solidFill>
                  <a:schemeClr val="bg1"/>
                </a:solidFill>
              </a:ln>
              <a:effectLst/>
              <a:sp3d contourW="76200"/>
            </c:spPr>
          </c:dPt>
          <c:dPt>
            <c:idx val="1"/>
            <c:bubble3D val="0"/>
            <c:spPr>
              <a:solidFill>
                <a:schemeClr val="accent2"/>
              </a:solidFill>
              <a:ln w="76200" cmpd="thickThin">
                <a:solidFill>
                  <a:schemeClr val="bg1"/>
                </a:solidFill>
              </a:ln>
              <a:effectLst/>
              <a:sp3d contourW="76200"/>
            </c:spPr>
          </c:dPt>
          <c:dPt>
            <c:idx val="2"/>
            <c:bubble3D val="0"/>
            <c:spPr>
              <a:solidFill>
                <a:schemeClr val="accent3"/>
              </a:solidFill>
              <a:ln w="76200" cmpd="thickThin">
                <a:solidFill>
                  <a:schemeClr val="bg1"/>
                </a:solidFill>
              </a:ln>
              <a:effectLst/>
              <a:sp3d contourW="76200"/>
            </c:spPr>
          </c:dPt>
          <c:dPt>
            <c:idx val="3"/>
            <c:bubble3D val="0"/>
            <c:spPr>
              <a:solidFill>
                <a:schemeClr val="accent4"/>
              </a:solidFill>
              <a:ln w="76200" cmpd="thickThin">
                <a:solidFill>
                  <a:schemeClr val="bg1"/>
                </a:solidFill>
              </a:ln>
              <a:effectLst/>
              <a:sp3d contourW="76200"/>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买卖合同纠纷</c:v>
                </c:pt>
                <c:pt idx="1">
                  <c:v>服务合同纠纷</c:v>
                </c:pt>
                <c:pt idx="2">
                  <c:v>公司类案件</c:v>
                </c:pt>
                <c:pt idx="3">
                  <c:v>其他合同纠纷</c:v>
                </c:pt>
              </c:strCache>
            </c:strRef>
          </c:cat>
          <c:val>
            <c:numRef>
              <c:f>Sheet1!$C$2:$C$5</c:f>
              <c:numCache>
                <c:formatCode>0.00%</c:formatCode>
                <c:ptCount val="4"/>
                <c:pt idx="0">
                  <c:v>0.3589</c:v>
                </c:pt>
                <c:pt idx="1">
                  <c:v>0.1227</c:v>
                </c:pt>
                <c:pt idx="2">
                  <c:v>0.0775</c:v>
                </c:pt>
                <c:pt idx="3" c:formatCode="0%">
                  <c:v>0.4409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方正楷体_GB2312" panose="02000000000000000000" charset="-122"/>
                <a:ea typeface="方正楷体_GB2312" panose="02000000000000000000" charset="-122"/>
                <a:cs typeface="方正楷体_GB2312" panose="02000000000000000000" charset="-122"/>
                <a:sym typeface="方正楷体_GB2312" panose="02000000000000000000" charset="-122"/>
              </a:defRPr>
            </a:pPr>
          </a:p>
        </c:txPr>
      </c:legendEntry>
      <c:legendEntry>
        <c:idx val="1"/>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方正楷体_GB2312" panose="02000000000000000000" charset="-122"/>
                <a:ea typeface="方正楷体_GB2312" panose="02000000000000000000" charset="-122"/>
                <a:cs typeface="方正楷体_GB2312" panose="02000000000000000000" charset="-122"/>
                <a:sym typeface="方正楷体_GB2312" panose="02000000000000000000" charset="-122"/>
              </a:defRPr>
            </a:pPr>
          </a:p>
        </c:txPr>
      </c:legendEntry>
      <c:legendEntry>
        <c:idx val="2"/>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方正楷体_GB2312" panose="02000000000000000000" charset="-122"/>
                <a:ea typeface="方正楷体_GB2312" panose="02000000000000000000" charset="-122"/>
                <a:cs typeface="方正楷体_GB2312" panose="02000000000000000000" charset="-122"/>
                <a:sym typeface="方正楷体_GB2312" panose="02000000000000000000" charset="-122"/>
              </a:defRPr>
            </a:pPr>
          </a:p>
        </c:txPr>
      </c:legendEntry>
      <c:legendEntry>
        <c:idx val="3"/>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方正楷体_GB2312" panose="02000000000000000000" charset="-122"/>
                <a:ea typeface="方正楷体_GB2312" panose="02000000000000000000" charset="-122"/>
                <a:cs typeface="方正楷体_GB2312" panose="02000000000000000000" charset="-122"/>
                <a:sym typeface="方正楷体_GB2312" panose="02000000000000000000" charset="-122"/>
              </a:defRPr>
            </a:pPr>
          </a:p>
        </c:txPr>
      </c:legendEntry>
      <c:layout>
        <c:manualLayout>
          <c:xMode val="edge"/>
          <c:yMode val="edge"/>
          <c:x val="0.756849683034275"/>
          <c:y val="0.428868316644625"/>
          <c:w val="0.164177500805845"/>
          <c:h val="0.308709616474589"/>
        </c:manualLayout>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方正楷体_GB2312" panose="02000000000000000000" charset="-122"/>
              <a:ea typeface="方正楷体_GB2312" panose="02000000000000000000" charset="-122"/>
              <a:cs typeface="方正楷体_GB2312" panose="02000000000000000000" charset="-122"/>
              <a:sym typeface="方正楷体_GB2312" panose="02000000000000000000" charset="-122"/>
            </a:defRPr>
          </a:pPr>
        </a:p>
      </c:txPr>
    </c:legend>
    <c:plotVisOnly val="1"/>
    <c:dispBlanksAs val="gap"/>
    <c:showDLblsOverMax val="0"/>
    <c:extLst>
      <c:ext uri="{0b15fc19-7d7d-44ad-8c2d-2c3a37ce22c3}">
        <chartProps xmlns="https://web.wps.cn/et/2018/main" chartId="{2ba86703-4e57-4459-a4ec-d12de13d8b76}"/>
      </c:ext>
    </c:extLst>
  </c:chart>
  <c:spPr>
    <a:solidFill>
      <a:schemeClr val="bg1"/>
    </a:solidFill>
    <a:ln w="6350" cap="flat" cmpd="sng" algn="ctr">
      <a:solidFill>
        <a:schemeClr val="tx1">
          <a:lumMod val="50000"/>
          <a:lumOff val="50000"/>
          <a:alpha val="25000"/>
        </a:schemeClr>
      </a:solidFill>
      <a:round/>
    </a:ln>
    <a:effectLst>
      <a:outerShdw blurRad="63500" dist="37357" dir="2700000" sx="0" sy="0" rotWithShape="0">
        <a:scrgbClr r="0" g="0" b="0"/>
      </a:outerShdw>
    </a:effectLst>
  </c:spPr>
  <c:txPr>
    <a:bodyPr/>
    <a:lstStyle/>
    <a:p>
      <a:pPr>
        <a:defRPr lang="zh-CN">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1478618023677"/>
          <c:y val="0.12789251057477"/>
          <c:w val="0.396834984295724"/>
          <c:h val="0.817367504354317"/>
        </c:manualLayout>
      </c:layout>
      <c:pieChart>
        <c:varyColors val="1"/>
        <c:ser>
          <c:idx val="0"/>
          <c:order val="0"/>
          <c:tx>
            <c:strRef>
              <c:f>Sheet1!$B$1</c:f>
              <c:strCache>
                <c:ptCount val="1"/>
                <c:pt idx="0">
                  <c:v>销售额</c:v>
                </c:pt>
              </c:strCache>
            </c:strRef>
          </c:tx>
          <c:spPr>
            <a:ln w="76200" cmpd="thickThin">
              <a:solidFill>
                <a:schemeClr val="bg1"/>
              </a:solidFill>
            </a:ln>
            <a:sp3d contourW="76200"/>
          </c:spPr>
          <c:explosion val="0"/>
          <c:dPt>
            <c:idx val="0"/>
            <c:bubble3D val="0"/>
            <c:spPr>
              <a:solidFill>
                <a:schemeClr val="accent1"/>
              </a:solidFill>
              <a:ln w="76200" cmpd="thickThin">
                <a:solidFill>
                  <a:schemeClr val="bg1"/>
                </a:solidFill>
              </a:ln>
              <a:effectLst/>
              <a:sp3d contourW="76200"/>
            </c:spPr>
          </c:dPt>
          <c:dPt>
            <c:idx val="1"/>
            <c:bubble3D val="0"/>
            <c:spPr>
              <a:solidFill>
                <a:schemeClr val="accent2"/>
              </a:solidFill>
              <a:ln w="76200" cmpd="thickThin">
                <a:solidFill>
                  <a:schemeClr val="bg1"/>
                </a:solidFill>
              </a:ln>
              <a:effectLst/>
              <a:sp3d contourW="76200"/>
            </c:spPr>
          </c:dPt>
          <c:dPt>
            <c:idx val="2"/>
            <c:bubble3D val="0"/>
            <c:spPr>
              <a:solidFill>
                <a:schemeClr val="accent3"/>
              </a:solidFill>
              <a:ln w="76200" cmpd="thickThin">
                <a:solidFill>
                  <a:schemeClr val="bg1"/>
                </a:solidFill>
              </a:ln>
              <a:effectLst/>
              <a:sp3d contourW="76200"/>
            </c:spPr>
          </c:dPt>
          <c:dPt>
            <c:idx val="3"/>
            <c:bubble3D val="0"/>
            <c:spPr>
              <a:solidFill>
                <a:schemeClr val="accent4"/>
              </a:solidFill>
              <a:ln w="76200" cmpd="thickThin">
                <a:solidFill>
                  <a:schemeClr val="bg1"/>
                </a:solidFill>
              </a:ln>
              <a:effectLst/>
              <a:sp3d contourW="76200"/>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20万元以下</c:v>
                </c:pt>
                <c:pt idx="1">
                  <c:v>20万-100万元</c:v>
                </c:pt>
                <c:pt idx="2">
                  <c:v>100万-1000万元</c:v>
                </c:pt>
                <c:pt idx="3">
                  <c:v>1000万元以上</c:v>
                </c:pt>
              </c:strCache>
            </c:strRef>
          </c:cat>
          <c:val>
            <c:numRef>
              <c:f>Sheet1!$B$2:$B$5</c:f>
              <c:numCache>
                <c:formatCode>0%</c:formatCode>
                <c:ptCount val="4"/>
                <c:pt idx="0">
                  <c:v>0.36</c:v>
                </c:pt>
                <c:pt idx="1">
                  <c:v>0.32</c:v>
                </c:pt>
                <c:pt idx="2">
                  <c:v>0.26</c:v>
                </c:pt>
                <c:pt idx="3">
                  <c:v>0.06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方正楷体_GB2312" panose="02000000000000000000" charset="-122"/>
                <a:ea typeface="方正楷体_GB2312" panose="02000000000000000000" charset="-122"/>
                <a:cs typeface="方正楷体_GB2312" panose="02000000000000000000" charset="-122"/>
                <a:sym typeface="方正楷体_GB2312" panose="02000000000000000000" charset="-122"/>
              </a:defRPr>
            </a:pPr>
          </a:p>
        </c:txPr>
      </c:legendEntry>
      <c:legendEntry>
        <c:idx val="1"/>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方正楷体_GB2312" panose="02000000000000000000" charset="-122"/>
                <a:ea typeface="方正楷体_GB2312" panose="02000000000000000000" charset="-122"/>
                <a:cs typeface="方正楷体_GB2312" panose="02000000000000000000" charset="-122"/>
                <a:sym typeface="方正楷体_GB2312" panose="02000000000000000000" charset="-122"/>
              </a:defRPr>
            </a:pPr>
          </a:p>
        </c:txPr>
      </c:legendEntry>
      <c:legendEntry>
        <c:idx val="2"/>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方正楷体_GB2312" panose="02000000000000000000" charset="-122"/>
                <a:ea typeface="方正楷体_GB2312" panose="02000000000000000000" charset="-122"/>
                <a:cs typeface="方正楷体_GB2312" panose="02000000000000000000" charset="-122"/>
                <a:sym typeface="方正楷体_GB2312" panose="02000000000000000000" charset="-122"/>
              </a:defRPr>
            </a:pPr>
          </a:p>
        </c:txPr>
      </c:legendEntry>
      <c:legendEntry>
        <c:idx val="3"/>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方正楷体_GB2312" panose="02000000000000000000" charset="-122"/>
                <a:ea typeface="方正楷体_GB2312" panose="02000000000000000000" charset="-122"/>
                <a:cs typeface="方正楷体_GB2312" panose="02000000000000000000" charset="-122"/>
                <a:sym typeface="方正楷体_GB2312" panose="02000000000000000000" charset="-122"/>
              </a:defRPr>
            </a:pPr>
          </a:p>
        </c:txPr>
      </c:legendEntry>
      <c:layout>
        <c:manualLayout>
          <c:xMode val="edge"/>
          <c:yMode val="edge"/>
          <c:x val="0.702826769751148"/>
          <c:y val="0.407139821504462"/>
          <c:w val="0.21019569944431"/>
          <c:h val="0.334254143646409"/>
        </c:manualLayout>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方正楷体_GB2312" panose="02000000000000000000" charset="-122"/>
              <a:ea typeface="方正楷体_GB2312" panose="02000000000000000000" charset="-122"/>
              <a:cs typeface="方正楷体_GB2312" panose="02000000000000000000" charset="-122"/>
              <a:sym typeface="方正楷体_GB2312" panose="02000000000000000000" charset="-122"/>
            </a:defRPr>
          </a:pPr>
        </a:p>
      </c:txPr>
    </c:legend>
    <c:plotVisOnly val="1"/>
    <c:dispBlanksAs val="gap"/>
    <c:showDLblsOverMax val="0"/>
    <c:extLst>
      <c:ext uri="{0b15fc19-7d7d-44ad-8c2d-2c3a37ce22c3}">
        <chartProps xmlns="https://web.wps.cn/et/2018/main" chartId="{d3c0d032-6364-4bb0-a149-bad88ba93f7c}"/>
      </c:ext>
    </c:extLst>
  </c:chart>
  <c:spPr>
    <a:solidFill>
      <a:schemeClr val="bg1"/>
    </a:solidFill>
    <a:ln w="6350" cap="flat" cmpd="sng" algn="ctr">
      <a:solidFill>
        <a:schemeClr val="tx1">
          <a:lumMod val="50000"/>
          <a:lumOff val="50000"/>
          <a:alpha val="25000"/>
        </a:schemeClr>
      </a:solidFill>
      <a:round/>
    </a:ln>
    <a:effectLst>
      <a:outerShdw blurRad="63500" dist="37357" dir="2700000" sx="0" sy="0" rotWithShape="0">
        <a:scrgbClr r="0" g="0" b="0"/>
      </a:outerShdw>
    </a:effectLst>
  </c:spPr>
  <c:txPr>
    <a:bodyPr/>
    <a:lstStyle/>
    <a:p>
      <a:pPr>
        <a:defRPr lang="zh-CN">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barChart>
        <c:barDir val="col"/>
        <c:grouping val="clustered"/>
        <c:varyColors val="0"/>
        <c:ser>
          <c:idx val="0"/>
          <c:order val="0"/>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判决</c:v>
                </c:pt>
                <c:pt idx="1">
                  <c:v>调解</c:v>
                </c:pt>
                <c:pt idx="2">
                  <c:v>撤诉</c:v>
                </c:pt>
                <c:pt idx="3">
                  <c:v>裁定驳回起诉</c:v>
                </c:pt>
                <c:pt idx="4">
                  <c:v>裁定移送</c:v>
                </c:pt>
                <c:pt idx="5">
                  <c:v>其他</c:v>
                </c:pt>
              </c:strCache>
            </c:strRef>
          </c:cat>
          <c:val>
            <c:numRef>
              <c:f>Sheet1!$B$2:$B$7</c:f>
              <c:numCache>
                <c:formatCode>General</c:formatCode>
                <c:ptCount val="6"/>
                <c:pt idx="0">
                  <c:v>4020</c:v>
                </c:pt>
                <c:pt idx="1">
                  <c:v>1910</c:v>
                </c:pt>
                <c:pt idx="2">
                  <c:v>3126</c:v>
                </c:pt>
                <c:pt idx="3">
                  <c:v>172</c:v>
                </c:pt>
                <c:pt idx="4">
                  <c:v>196</c:v>
                </c:pt>
                <c:pt idx="5">
                  <c:v>221</c:v>
                </c:pt>
              </c:numCache>
            </c:numRef>
          </c:val>
        </c:ser>
        <c:dLbls>
          <c:showLegendKey val="0"/>
          <c:showVal val="1"/>
          <c:showCatName val="0"/>
          <c:showSerName val="0"/>
          <c:showPercent val="0"/>
          <c:showBubbleSize val="0"/>
        </c:dLbls>
        <c:gapWidth val="246"/>
        <c:overlap val="-28"/>
        <c:axId val="628532464"/>
        <c:axId val="653562524"/>
      </c:barChart>
      <c:catAx>
        <c:axId val="628532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000" b="0" i="0" u="none" strike="noStrike" kern="1200" baseline="0">
                <a:solidFill>
                  <a:sysClr val="windowText" lastClr="000000"/>
                </a:solidFill>
                <a:latin typeface="方正楷体_GB2312" panose="02000000000000000000" charset="-122"/>
                <a:ea typeface="方正楷体_GB2312" panose="02000000000000000000" charset="-122"/>
                <a:cs typeface="方正楷体_GB2312" panose="02000000000000000000" charset="-122"/>
                <a:sym typeface="方正楷体_GB2312" panose="02000000000000000000" charset="-122"/>
              </a:defRPr>
            </a:pPr>
          </a:p>
        </c:txPr>
        <c:crossAx val="653562524"/>
        <c:crosses val="autoZero"/>
        <c:auto val="1"/>
        <c:lblAlgn val="ctr"/>
        <c:lblOffset val="100"/>
        <c:noMultiLvlLbl val="0"/>
      </c:catAx>
      <c:valAx>
        <c:axId val="653562524"/>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628532464"/>
        <c:crosses val="autoZero"/>
        <c:crossBetween val="between"/>
      </c:valAx>
      <c:spPr>
        <a:noFill/>
        <a:ln>
          <a:noFill/>
        </a:ln>
        <a:effectLst/>
      </c:spPr>
    </c:plotArea>
    <c:plotVisOnly val="1"/>
    <c:dispBlanksAs val="gap"/>
    <c:showDLblsOverMax val="0"/>
    <c:extLst>
      <c:ext uri="{0b15fc19-7d7d-44ad-8c2d-2c3a37ce22c3}">
        <chartProps xmlns="https://web.wps.cn/et/2018/main" chartId="{c8ff33af-de0c-4d95-a14c-7055206a0c6c}"/>
      </c:ext>
    </c:extLst>
  </c:chart>
  <c:spPr>
    <a:solidFill>
      <a:schemeClr val="bg1"/>
    </a:solidFill>
    <a:ln w="9525" cap="flat" cmpd="sng" algn="ctr">
      <a:solidFill>
        <a:schemeClr val="tx1">
          <a:lumMod val="15000"/>
          <a:lumOff val="85000"/>
        </a:schemeClr>
      </a:solid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自定义 6">
    <a:dk1>
      <a:srgbClr val="000000"/>
    </a:dk1>
    <a:lt1>
      <a:srgbClr val="FFFFFF"/>
    </a:lt1>
    <a:dk2>
      <a:srgbClr val="44546A"/>
    </a:dk2>
    <a:lt2>
      <a:srgbClr val="E7E6E6"/>
    </a:lt2>
    <a:accent1>
      <a:srgbClr val="1992FF"/>
    </a:accent1>
    <a:accent2>
      <a:srgbClr val="FDC003"/>
    </a:accent2>
    <a:accent3>
      <a:srgbClr val="73A1FF"/>
    </a:accent3>
    <a:accent4>
      <a:srgbClr val="6FD5FF"/>
    </a:accent4>
    <a:accent5>
      <a:srgbClr val="FC9400"/>
    </a:accent5>
    <a:accent6>
      <a:srgbClr val="0093F0"/>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自定义 6">
    <a:dk1>
      <a:srgbClr val="000000"/>
    </a:dk1>
    <a:lt1>
      <a:srgbClr val="FFFFFF"/>
    </a:lt1>
    <a:dk2>
      <a:srgbClr val="44546A"/>
    </a:dk2>
    <a:lt2>
      <a:srgbClr val="E7E6E6"/>
    </a:lt2>
    <a:accent1>
      <a:srgbClr val="1992FF"/>
    </a:accent1>
    <a:accent2>
      <a:srgbClr val="FDC003"/>
    </a:accent2>
    <a:accent3>
      <a:srgbClr val="73A1FF"/>
    </a:accent3>
    <a:accent4>
      <a:srgbClr val="6FD5FF"/>
    </a:accent4>
    <a:accent5>
      <a:srgbClr val="FC9400"/>
    </a:accent5>
    <a:accent6>
      <a:srgbClr val="0093F0"/>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2</Words>
  <Characters>2</Characters>
  <Lines>0</Lines>
  <Paragraphs>0</Paragraphs>
  <TotalTime>1</TotalTime>
  <ScaleCrop>false</ScaleCrop>
  <LinksUpToDate>false</LinksUpToDate>
  <CharactersWithSpaces>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2025-10-28T05:42:00Z</dcterms:created>
  <dc:creator>小太阳</dc:creator>
  <cp:lastModifiedBy>小太阳</cp:lastModifiedBy>
  <dcterms:modified xsi:type="dcterms:W3CDTF">2025-10-28T06:04:19Z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B06710878718403F86C003CB7F93A491_11</vt:lpwstr>
  </property>
  <property fmtid="{D5CDD505-2E9C-101B-9397-08002B2CF9AE}" pid="4" name="KSOTemplateDocerSaveRecord">
    <vt:lpwstr>eyJoZGlkIjoiY2QzYWYwZGFiOTU3ZjhlNWUzNzEwZTdlNWJlNWU2YzQiLCJ1c2VySWQiOiIxMTM2NDM2NDkwIn0=</vt:lpwstr>
  </property>
</Properties>
</file>