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920D">
      <w:pPr>
        <w:pStyle w:val="7"/>
        <w:spacing w:beforeLines="0" w:afterLines="0"/>
        <w:jc w:val="center"/>
        <w:rPr>
          <w:rFonts w:hint="eastAsia" w:ascii="方正大黑_GBK" w:hAnsi="方正大黑_GBK" w:eastAsia="方正大黑_GBK"/>
          <w:color w:val="595757"/>
          <w:sz w:val="60"/>
          <w:szCs w:val="24"/>
        </w:rPr>
      </w:pPr>
      <w:bookmarkStart w:id="0" w:name="_GoBack"/>
      <w:bookmarkEnd w:id="0"/>
      <w:r>
        <w:rPr>
          <w:rFonts w:hint="eastAsia" w:ascii="方正大黑_GBK" w:hAnsi="方正大黑_GBK" w:eastAsia="方正大黑_GBK"/>
          <w:color w:val="595757"/>
          <w:sz w:val="60"/>
          <w:szCs w:val="24"/>
        </w:rPr>
        <w:t>目</w:t>
      </w:r>
      <w:r>
        <w:rPr>
          <w:rFonts w:hint="eastAsia" w:ascii="方正大黑_GBK" w:hAnsi="方正大黑_GBK" w:eastAsia="方正大黑_GBK"/>
          <w:color w:val="595757"/>
          <w:sz w:val="60"/>
          <w:szCs w:val="24"/>
          <w:lang w:val="en-US" w:eastAsia="zh-CN"/>
        </w:rPr>
        <w:t xml:space="preserve"> </w:t>
      </w:r>
      <w:r>
        <w:rPr>
          <w:rFonts w:hint="eastAsia" w:ascii="方正大黑_GBK" w:hAnsi="方正大黑_GBK" w:eastAsia="方正大黑_GBK"/>
          <w:color w:val="595757"/>
          <w:sz w:val="60"/>
          <w:szCs w:val="24"/>
        </w:rPr>
        <w:t>录</w:t>
      </w:r>
    </w:p>
    <w:p w14:paraId="10351BA5">
      <w:pPr>
        <w:rPr>
          <w:rFonts w:hint="eastAsia" w:ascii="方正黑体_GBK" w:hAnsi="方正黑体_GBK" w:eastAsia="方正黑体_GBK"/>
          <w:sz w:val="30"/>
          <w:szCs w:val="24"/>
        </w:rPr>
      </w:pPr>
    </w:p>
    <w:p w14:paraId="6B6FF1D7">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案例一</w:t>
      </w:r>
      <w:r>
        <w:rPr>
          <w:rFonts w:hint="eastAsia" w:ascii="方正书宋_GBK" w:hAnsi="方正书宋_GBK" w:eastAsia="方正书宋_GBK"/>
          <w:sz w:val="28"/>
          <w:szCs w:val="24"/>
        </w:rPr>
        <w:t>　程某某与上海某某公司、张某、程某股东资格确认纠纷案</w:t>
      </w:r>
    </w:p>
    <w:p w14:paraId="0037BD3E">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——明确隐名股东显名标准  保障外籍股东合法权益</w:t>
      </w:r>
    </w:p>
    <w:p w14:paraId="14638833">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案例二</w:t>
      </w:r>
      <w:r>
        <w:rPr>
          <w:rFonts w:hint="eastAsia" w:ascii="方正书宋_GBK" w:hAnsi="方正书宋_GBK" w:eastAsia="方正书宋_GBK"/>
          <w:sz w:val="28"/>
          <w:szCs w:val="24"/>
        </w:rPr>
        <w:t>　石某某与某半导体公司与公司有关的纠纷案</w:t>
      </w:r>
    </w:p>
    <w:p w14:paraId="47FFE69D">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——明确董事报酬自治属性  预防隐形治理成本</w:t>
      </w:r>
    </w:p>
    <w:p w14:paraId="64AD361E">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案例三</w:t>
      </w:r>
      <w:r>
        <w:rPr>
          <w:rFonts w:hint="eastAsia" w:ascii="方正书宋_GBK" w:hAnsi="方正书宋_GBK" w:eastAsia="方正书宋_GBK"/>
          <w:sz w:val="28"/>
          <w:szCs w:val="24"/>
        </w:rPr>
        <w:t>　王某某与某生物公司股权转让纠纷案</w:t>
      </w:r>
    </w:p>
    <w:p w14:paraId="33E85BB8">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——依法确认股权激励效力  规范外资企业管理模式</w:t>
      </w:r>
    </w:p>
    <w:p w14:paraId="1C6F2304">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案例四</w:t>
      </w:r>
      <w:r>
        <w:rPr>
          <w:rFonts w:hint="eastAsia" w:ascii="方正书宋_GBK" w:hAnsi="方正书宋_GBK" w:eastAsia="方正书宋_GBK"/>
          <w:sz w:val="28"/>
          <w:szCs w:val="24"/>
        </w:rPr>
        <w:t>　塑某国际公司与汇某公司公司决议纠纷案</w:t>
      </w:r>
    </w:p>
    <w:p w14:paraId="6FD0D387">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——依法认定公司决议效力  规范企业组织形式变更程序</w:t>
      </w:r>
    </w:p>
    <w:p w14:paraId="6A9A245C">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案例五</w:t>
      </w:r>
      <w:r>
        <w:rPr>
          <w:rFonts w:hint="eastAsia" w:ascii="方正书宋_GBK" w:hAnsi="方正书宋_GBK" w:eastAsia="方正书宋_GBK"/>
          <w:sz w:val="28"/>
          <w:szCs w:val="24"/>
        </w:rPr>
        <w:t>　黄山某公司与上海某公司买卖合同纠纷案</w:t>
      </w:r>
    </w:p>
    <w:p w14:paraId="17A78503">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——明确国际商事惯例辨别路径  维护国际贸易市场秩序</w:t>
      </w:r>
    </w:p>
    <w:p w14:paraId="6738BF60">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案例六</w:t>
      </w:r>
      <w:r>
        <w:rPr>
          <w:rFonts w:hint="eastAsia" w:ascii="方正书宋_GBK" w:hAnsi="方正书宋_GBK" w:eastAsia="方正书宋_GBK"/>
          <w:sz w:val="28"/>
          <w:szCs w:val="24"/>
        </w:rPr>
        <w:t>　某科技公司与某医学研究股份有限公司股权转让纠纷主管</w:t>
      </w:r>
    </w:p>
    <w:p w14:paraId="1F385CD4">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异议案</w:t>
      </w:r>
    </w:p>
    <w:p w14:paraId="55ADDA9A">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xml:space="preserve">　　　　——准确识别逃避仲裁主管行为  规范诉讼权利行使方式   </w:t>
      </w:r>
    </w:p>
    <w:p w14:paraId="52DCB820">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案例七</w:t>
      </w:r>
      <w:r>
        <w:rPr>
          <w:rFonts w:hint="eastAsia" w:ascii="方正书宋_GBK" w:hAnsi="方正书宋_GBK" w:eastAsia="方正书宋_GBK"/>
          <w:sz w:val="28"/>
          <w:szCs w:val="24"/>
        </w:rPr>
        <w:t>　上海凯某国际贸易有限公司与上海凯某制衣有限公司公司解散</w:t>
      </w:r>
    </w:p>
    <w:p w14:paraId="051DFC0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纠纷案</w:t>
      </w:r>
    </w:p>
    <w:p w14:paraId="0F7141CB">
      <w:pPr>
        <w:pStyle w:val="7"/>
        <w:spacing w:beforeLines="0" w:afterLines="0"/>
        <w:rPr>
          <w:rFonts w:hint="eastAsia" w:ascii="方正楷体_GBK" w:hAnsi="方正楷体_GBK" w:eastAsia="方正楷体_GBK"/>
          <w:sz w:val="28"/>
          <w:szCs w:val="24"/>
        </w:rPr>
      </w:pPr>
      <w:r>
        <w:rPr>
          <w:rFonts w:hint="eastAsia" w:ascii="方正楷体_GBK" w:hAnsi="方正楷体_GBK" w:eastAsia="方正楷体_GBK"/>
          <w:sz w:val="28"/>
          <w:szCs w:val="24"/>
        </w:rPr>
        <w:t>　　　　——规范域外法查明及适用  合理认定诉讼主体资格</w:t>
      </w:r>
    </w:p>
    <w:p w14:paraId="5B22CE5F">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color w:val="185AA7"/>
          <w:sz w:val="28"/>
          <w:szCs w:val="24"/>
        </w:rPr>
        <w:t>案例八</w:t>
      </w:r>
      <w:r>
        <w:rPr>
          <w:rFonts w:hint="eastAsia" w:ascii="方正书宋_GBK" w:hAnsi="方正书宋_GBK" w:eastAsia="方正书宋_GBK"/>
          <w:sz w:val="28"/>
          <w:szCs w:val="24"/>
        </w:rPr>
        <w:t>　徐某与庚某公司公司解散纠纷案</w:t>
      </w:r>
    </w:p>
    <w:p w14:paraId="29C1AC5B">
      <w:pPr>
        <w:rPr>
          <w:rFonts w:hint="eastAsia" w:ascii="方正黑体_GBK" w:hAnsi="方正黑体_GBK" w:eastAsia="方正黑体_GBK"/>
          <w:sz w:val="30"/>
          <w:szCs w:val="24"/>
        </w:rPr>
      </w:pPr>
      <w:r>
        <w:rPr>
          <w:rFonts w:hint="eastAsia" w:ascii="方正楷体_GBK" w:hAnsi="方正楷体_GBK" w:eastAsia="方正楷体_GBK"/>
          <w:sz w:val="28"/>
          <w:szCs w:val="24"/>
        </w:rPr>
        <w:t>　　　　——实质化解公司内部纠纷  强化外商投资信心</w:t>
      </w:r>
      <w:r>
        <w:rPr>
          <w:rFonts w:hint="eastAsia" w:ascii="方正黑体_GBK" w:hAnsi="方正黑体_GBK" w:eastAsia="方正黑体_GBK"/>
          <w:sz w:val="30"/>
          <w:szCs w:val="24"/>
        </w:rPr>
        <w:br w:type="page"/>
      </w:r>
    </w:p>
    <w:p w14:paraId="3CA124AC">
      <w:pPr>
        <w:pStyle w:val="7"/>
        <w:spacing w:beforeLines="0" w:afterLines="0"/>
        <w:rPr>
          <w:rFonts w:hint="eastAsia" w:ascii="方正黑体_GBK" w:hAnsi="方正黑体_GBK" w:eastAsia="方正黑体_GBK"/>
          <w:sz w:val="30"/>
          <w:szCs w:val="24"/>
        </w:rPr>
        <w:sectPr>
          <w:footerReference r:id="rId3" w:type="default"/>
          <w:pgSz w:w="11906" w:h="16838"/>
          <w:pgMar w:top="1134" w:right="1134" w:bottom="1134" w:left="1134" w:header="720" w:footer="720" w:gutter="0"/>
          <w:lnNumType w:countBy="0" w:distance="360"/>
          <w:cols w:space="720" w:num="1"/>
          <w:docGrid w:type="lines" w:linePitch="312" w:charSpace="0"/>
        </w:sectPr>
      </w:pPr>
    </w:p>
    <w:p w14:paraId="721B51BF">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【案例一】</w:t>
      </w:r>
    </w:p>
    <w:p w14:paraId="5EE478C2">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程某某与上海某某公司、张某、程某股东资格确认</w:t>
      </w:r>
    </w:p>
    <w:p w14:paraId="5CA1034F">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纠纷案</w:t>
      </w:r>
    </w:p>
    <w:p w14:paraId="1D4AF9CB">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——明确隐名股东显名标准  保障外籍股东合法权益</w:t>
      </w:r>
    </w:p>
    <w:p w14:paraId="6BF0EC82">
      <w:pPr>
        <w:rPr>
          <w:rFonts w:hint="eastAsia" w:ascii="方正楷体_GBK" w:hAnsi="方正楷体_GBK" w:eastAsia="方正楷体_GBK"/>
          <w:sz w:val="30"/>
          <w:szCs w:val="24"/>
        </w:rPr>
      </w:pPr>
    </w:p>
    <w:p w14:paraId="16EEC0AE">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5264AEC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2009年11月，程某某（美国籍）因政策限制无法以外国自然人身份与国内自然人合资设立公司，遂与张某、程某签订《股份协议书》，约定以张某、程某名义成立上海某某公司，实际持股比例为程某某51%、张某25%、程某24%。程某某通过程某向张某转账458,762元，其中26万元系以其名义缴纳的出资。2009年11月11日，上海某某公司成立，类型为有限责任公司，注册资本100万元，登记股东为张某（51%）、程某（49%），经营范围为：从事货物与技术的进出口业务，机械设备、五金交电、电子产品、建材、化工产品（除危险化学品、监控化学品、烟花爆竹、民用爆炸物品、易制毒化学品）、纺织品、橡胶塑料制品、光学仪器、体育运动器材、机电产品、一类医疗器械、工艺品的销售。2012年10月，三方再次签订《股份协议书》，明确程某某对关联公司持股51%。2018年8月，上海某某公司向程某某出具一份《出资证明书》，载明程某某于2009年向上海某某公司缴纳出资51万元。2009年至2018年间，张某多次向程某某发送公司运营邮件，2013年分红方案显示程某某拟分得510万元。程某某诉称：其系上海某某公司实际出资人，要求确认张某名下26%股权归其所有，并由公司配合办理股权变更登记。上海某某公司辩称：程某某未实际出资，且其显名请求违反《中外合资经营企业法》规定。张某认可上海某某公司意见，程某认可程某某意见。</w:t>
      </w:r>
    </w:p>
    <w:p w14:paraId="7B55E98D">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7EDA644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理认为：2009年及2012年《股份协议书》、2018年《出资证明书》及分红方案等证据形成相互印证关系，可证明程某某实际出资并享有51%股权，其中26%股权由张某代持。关于显名法律障碍问题：首先，《中外合资经营企业法》限制中国自然人与外籍投资者合资的规定已于2020年废止，现行《外商投资法》第二条及《外商投资法实施条例》第三条明确允许中国自然人与外籍投资者共同设立外商投资企业。其次，上海市浦东新区商务委复函确认，上海某某公司所属领域不属于外商投资负面清单范围，程某某显名无法律障碍。除此之外，根据《最高人民法院关于适用〈中华人民共和国公司法〉若干问题的规定（三）》第二十四条的规定，程某作为其他股东（持股49%）已明确同意程某某显名，符合“其他股东半数以上同意”要件。最终法院判决：确认登记在张某名下的被告上海某某公司26%的股权系程某某所有，上海某某公司将相应股权变更登记到程某某名下，张某予以配合。</w:t>
      </w:r>
    </w:p>
    <w:p w14:paraId="23D6432C">
      <w:pPr>
        <w:pStyle w:val="7"/>
        <w:spacing w:beforeLines="0" w:afterLines="0"/>
        <w:rPr>
          <w:rFonts w:hint="eastAsia" w:ascii="方正书宋_GBK" w:hAnsi="方正书宋_GBK" w:eastAsia="方正书宋_GBK"/>
          <w:sz w:val="28"/>
          <w:szCs w:val="24"/>
        </w:rPr>
      </w:pPr>
    </w:p>
    <w:p w14:paraId="1EA7DD65">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23B012B0">
      <w:pPr>
        <w:rPr>
          <w:rFonts w:hint="eastAsia" w:ascii="方正书宋_GBK" w:hAnsi="方正书宋_GBK" w:eastAsia="方正书宋_GBK"/>
          <w:sz w:val="28"/>
          <w:szCs w:val="24"/>
        </w:rPr>
      </w:pPr>
      <w:r>
        <w:rPr>
          <w:rFonts w:hint="eastAsia" w:ascii="方正书宋_GBK" w:hAnsi="方正书宋_GBK" w:eastAsia="方正书宋_GBK"/>
          <w:sz w:val="28"/>
          <w:szCs w:val="24"/>
        </w:rPr>
        <w:t>　　本案系《外商投资法》实施后外籍隐名股东显名化的典型案例，对同类纠纷的司法审查标准具有重要指引作用。其核心价值在于确立了外商投资负面清单制度下外籍隐名股东显名的审查规则，即《外商投资法》施行后，若公司投资领域不在外商投资准入负面清单限制之列，且外籍隐名股东已实际履行出资义务，并经名义股东以外的其他股东半数以上同意，外籍隐名股东请求确认其股东资格并作显名登记的，人民法院应予支持。本案通过商务部门复函明确负面清单外领域显名无法律障碍，并结合《最高人民法院关于适用〈中华人民共和国公司法〉若干问题的规定（三）》第二十四条的“其他股东过半数同意”规则，完整构建新法背景下的显名要件体系，肯定了在《外商投资法》实施背景下，外籍自然人与中国自然人合资的合法性，彰显“准入前国民待遇加负面清单”管理制度的外商投资治理新范式，为跨境投资权益保障提供典型范本。</w:t>
      </w:r>
    </w:p>
    <w:p w14:paraId="3A8635A3">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7A332C37">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【案例二】</w:t>
      </w:r>
    </w:p>
    <w:p w14:paraId="14D7680F">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石某某与某半导体公司与公司有关的纠纷案</w:t>
      </w:r>
    </w:p>
    <w:p w14:paraId="1B621A1C">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——明确董事报酬自治属性  预防隐形治理成本</w:t>
      </w:r>
    </w:p>
    <w:p w14:paraId="578FAA1F">
      <w:pPr>
        <w:rPr>
          <w:rFonts w:hint="eastAsia" w:ascii="方正楷体_GBK" w:hAnsi="方正楷体_GBK" w:eastAsia="方正楷体_GBK"/>
          <w:sz w:val="30"/>
          <w:szCs w:val="24"/>
        </w:rPr>
      </w:pPr>
    </w:p>
    <w:p w14:paraId="1CDBC692">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62F6C660">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某半导体公司成立于2008年7月17日。2017年1月25日某半导体公司股东签署的公司章程载明：公司董事会为最高权力机构，有权就公司全部重大事件作出决定。2017年8月4日，某半导体公司的公司类型变更为有限责任公司（中外合资），同日登记备案石某某的董事身份。2020年7月29日，某半导体公司股东作出董事免职书，免去石某某的董事职位，并于2020年8月4日办理了相应变更登记。2021年1月20日某半导体公司股东签署的公司章程载明：股东大会是公司的权力机构，依法行使下列职权：（二）选举和更换非由职工代表担任的董事、监事，决定有关董事、监事的报酬事项。2021年2月5日，某半导体公司的公司类型变更为股份有限公司（港澳台投资、未上市）。《某半导体公司首次公开发行股票并在科创板上市招股说明书》第五节第十二条载明：未在公司任职的外部董事（独立董事除外）不在公司领取薪酬。石某某诉称：其任职期间履行董事职责，然公司擅自停止发放报酬，请求判令某半导体公司支付其自2018年4月起至2020年8月4日止的董事报酬共计234,246.58元及利息损失。某半导体公司辩称：不同意石某某的诉讼请求，石某某任职董事期间的公司章程中并无需要支付董事报酬的规定。</w:t>
      </w:r>
    </w:p>
    <w:p w14:paraId="3035B480">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500F732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w:t>
      </w:r>
      <w:r>
        <w:rPr>
          <w:rFonts w:hint="eastAsia" w:ascii="方正书宋_GBK" w:hAnsi="方正书宋_GBK" w:eastAsia="方正书宋_GBK"/>
          <w:spacing w:val="6"/>
          <w:sz w:val="28"/>
          <w:szCs w:val="24"/>
        </w:rPr>
        <w:t>经审理认为，《中华人民共和国中外合资经营企业法（2016年修正）》规定，合营企业设董事会，决定合营企业的重大问题。董事会的职权是按合营企业章程规定，讨论决定合营企业的一切重大问题。《中华人民共和国中外合资经营企业法实施条例（2019年修订）》规定，董事会是合营企业的最高权力机构，决定合营企业的一切重大问题。本案中，某半导体公司2017年1月25日的公司章程亦约定董事会为公司最高权力机构，有权就公司全部重大事件作出决定，而某半导体公司的董事会并未就石某某担任公司董事期间的董事薪酬支付形成董事会决议。且《某半导体公司首次公开发行股票并在科创板上市招股说明书》亦载明未在公司任职的外部董事（独立董事除外）不在公司领取薪酬。石某某主张的董事报酬缺乏事实及法律依据。最终法院判决：驳回石某某的全部诉讼请</w:t>
      </w:r>
      <w:r>
        <w:rPr>
          <w:rFonts w:hint="eastAsia" w:ascii="方正书宋_GBK" w:hAnsi="方正书宋_GBK" w:eastAsia="方正书宋_GBK"/>
          <w:sz w:val="28"/>
          <w:szCs w:val="24"/>
        </w:rPr>
        <w:t>求。</w:t>
      </w:r>
    </w:p>
    <w:p w14:paraId="14C984BD">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3F22B946">
      <w:pPr>
        <w:rPr>
          <w:rFonts w:hint="eastAsia" w:ascii="方正书宋_GBK" w:hAnsi="方正书宋_GBK" w:eastAsia="方正书宋_GBK"/>
          <w:sz w:val="28"/>
          <w:szCs w:val="24"/>
        </w:rPr>
      </w:pPr>
      <w:r>
        <w:rPr>
          <w:rFonts w:hint="eastAsia" w:ascii="方正书宋_GBK" w:hAnsi="方正书宋_GBK" w:eastAsia="方正书宋_GBK"/>
          <w:sz w:val="28"/>
          <w:szCs w:val="24"/>
        </w:rPr>
        <w:t>　　本案厘清了司法介入公司内部治理的合理边界问题，明确了董事报酬事宜应属公司的自治范畴，董事报酬的主张依据应为公司内部治理文件的约定及公司权力机构的决议，而非基于董事身份自动产生，有利于引导公司规范内部治理体系，预防隐形治理成本。在不断推进高水平对外开放的过程中，涉外法治为法治的全球化与本土化融合提供契机，不断加强国内法治和国际法治的双向互动。本案裁判思路与国际主流公司治理规则同频，以中国司法实践印证了国内法与跨国商事惯例的兼容性，增强外资对中国法治环境的可预测性，通过尊重和保障公司的自治程序，为外商投资企业注入“中国规则可信赖”的强心剂。</w:t>
      </w:r>
    </w:p>
    <w:p w14:paraId="47039B7E">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358940B3">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【案例三】</w:t>
      </w:r>
    </w:p>
    <w:p w14:paraId="27B0EF2B">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pacing w:val="36"/>
          <w:sz w:val="36"/>
          <w:szCs w:val="24"/>
        </w:rPr>
        <w:t>王某某与某生物公司股权转让纠纷案</w:t>
      </w:r>
    </w:p>
    <w:p w14:paraId="7D8E571E">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——依法确认股权激励效力  规范外资企业管理模式</w:t>
      </w:r>
    </w:p>
    <w:p w14:paraId="59B4AC04">
      <w:pPr>
        <w:rPr>
          <w:rFonts w:hint="eastAsia" w:ascii="方正楷体_GBK" w:hAnsi="方正楷体_GBK" w:eastAsia="方正楷体_GBK"/>
          <w:sz w:val="30"/>
          <w:szCs w:val="24"/>
        </w:rPr>
      </w:pPr>
    </w:p>
    <w:p w14:paraId="5E2F9C4B">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1312B707">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某生物公司原系内资企业，后经股权转让，于2019年8月由境外企业G某某公司全资控股，转为外商独资企业。王某某系某生物公司员工。2016年5月，某生物公司与王某某签订《股权激励协议书》，约定授予其150万份股权激励份额，通过某合伙企业持有激励股权。后因公司股权结构变更、某合伙企业注销等原因，王某某未能实际获得相应股权。王某某诉请法院判令某生物公司继续履行协议，兑现其剩余的105万份激励份额。</w:t>
      </w:r>
    </w:p>
    <w:p w14:paraId="4DD2BF4D">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3C41A3F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理认为，涉案《股权激励协议书》系双方真实意思表示，合法有效。某生物公司未按约定通知王某某缴纳转让款，并非王某某过错，激励份额效力应予确认。后因某生物公司股权转让予境外企业G某某公司，某合伙企业已注销，激励份额已无法实际授予，王某某有权要求兑现相应款项。最终法院判决：以原持股平台某合伙企业退出时的股权转让价格作为参考标准，某生物公司向王某某支付一定数额的股权激励兑现款。</w:t>
      </w:r>
    </w:p>
    <w:p w14:paraId="399EE671">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20AB5F23">
      <w:pPr>
        <w:rPr>
          <w:rFonts w:hint="eastAsia" w:ascii="方正书宋_GBK" w:hAnsi="方正书宋_GBK" w:eastAsia="方正书宋_GBK"/>
          <w:sz w:val="28"/>
          <w:szCs w:val="24"/>
        </w:rPr>
      </w:pPr>
      <w:r>
        <w:rPr>
          <w:rFonts w:hint="eastAsia" w:ascii="方正书宋_GBK" w:hAnsi="方正书宋_GBK" w:eastAsia="方正书宋_GBK"/>
          <w:sz w:val="28"/>
          <w:szCs w:val="24"/>
        </w:rPr>
        <w:t>　　股权激励作为实现人才战略与业务增长深度融合的核心机制，为外商投资企业广泛采用。本案系涉外商投资企业股权转让纠纷的典型案件，法院依法确认外商投资企业股权激励协议效力，明确在协议无法继续履行时，激励对象有权请求兑现份额，并基于原持股平台注销时的转让价格公允认定兑现款金额，充分保障了激励对象的合法权益。同时，明确外资企业股权结构调整过程中原有激励安排的处理路径，为外资进入国内市场的规范路径提供了指引，促进外商投资企业进一步规范内部管理模式，保障企业公平诚信履约。</w:t>
      </w:r>
    </w:p>
    <w:p w14:paraId="5DACC99E">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30119669">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【案例四】</w:t>
      </w:r>
    </w:p>
    <w:p w14:paraId="2B6DF0FA">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pacing w:val="36"/>
          <w:sz w:val="36"/>
          <w:szCs w:val="24"/>
        </w:rPr>
        <w:t>塑某国际公司与汇某公司公司决议纠纷案</w:t>
      </w:r>
    </w:p>
    <w:p w14:paraId="3D0057D2">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——依法认定公司决议效力  规范企业组织形式变更程序</w:t>
      </w:r>
    </w:p>
    <w:p w14:paraId="57E6A5D3">
      <w:pPr>
        <w:rPr>
          <w:rFonts w:hint="eastAsia" w:ascii="方正楷体_GBK" w:hAnsi="方正楷体_GBK" w:eastAsia="方正楷体_GBK"/>
          <w:sz w:val="30"/>
          <w:szCs w:val="24"/>
        </w:rPr>
      </w:pPr>
    </w:p>
    <w:p w14:paraId="554BEC1F">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3A903B9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汇某公司成立于2003年，系中外合资公司。中方股东为塑某国际公司，外方股东为马来西亚塑某公司和塑某科技公司。《公司章程》约定：公司经营期限20年；公司最高权力机构为董事会;下列事项须经出席董事会会议的全体人员一致通过方可作出决定：合资公司章程的修改。2023年9月4日，汇某公司申请办理变更营业期限为“至不约定期限”与备案新公司章程，向市场监督管理部门提供了一份2023年8月25日的《股东会决议》，记载：“根据《公司法》有关规定，2023年8月21日15：00召开了股东会会议，股东应实到会2人，代表本公司77%表决权。经与会股东一致通过，作出如下决议：1.同意公司继续存续经营。2.同意通过公司新的章程。根据法律法规，表决赞成通过决议事项的股东所持表决权已超过法定比例标准，上述决议事项予以通过，并特此决议。”塑某国际公司诉称：根据公司章程和法律规定，修改公司章程应经中外合资公司最高权力机构董事会做出决议，汇某公司并未召开董事会，该《股东会决议》并未成立，相关行为无效，要求确认《股东会决议》不成立。汇某公司辩称：其继续经营符合国家政策要求，也符合相关法律规定，有利于股东之间共同盈利的预期。</w:t>
      </w:r>
    </w:p>
    <w:p w14:paraId="05DD62EB">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54D9BC3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w:t>
      </w:r>
      <w:r>
        <w:rPr>
          <w:rFonts w:hint="eastAsia" w:ascii="方正书宋_GBK" w:hAnsi="方正书宋_GBK" w:eastAsia="方正书宋_GBK"/>
          <w:spacing w:val="6"/>
          <w:sz w:val="28"/>
          <w:szCs w:val="24"/>
        </w:rPr>
        <w:t>理认为：首先，汇某公司系依照《中华人民共和国中外合资经营企业法》设立的中外合资公司，在《中华人民共和国外商投资法》施行后的过渡期内，组织形式尚未发生变更。根据其公司章程，董事会系最高权力机构，延长经营期限、修改公司章程的事项应由董事会作出决议，但汇某公司并未作出相应的董事会决议。而汇某公司未能提供任何证明股东会实际召开以及就相关事项进行表决的证据，符合《最高人民法院关于适用〈中华人民共和国公司法〉若干问题的规定（四）》第五条规定的召开程序违法导致决议不成立的情形。此外，本案中亦不存在关于延长合资公司经营期限的其他有效公司决议或者书面协议。根据法律规定，公司股东会、董事会决议被人民法院宣告无效、撤销或者确认不成立的，公司应当向公司登记机关申请撤销根据该决议已办理的登记。最终法院判决：确认汇某公司《股东会决议》不成立，汇某公司应撤销相应变更备案登</w:t>
      </w:r>
      <w:r>
        <w:rPr>
          <w:rFonts w:hint="eastAsia" w:ascii="方正书宋_GBK" w:hAnsi="方正书宋_GBK" w:eastAsia="方正书宋_GBK"/>
          <w:sz w:val="28"/>
          <w:szCs w:val="24"/>
        </w:rPr>
        <w:t>记。</w:t>
      </w:r>
    </w:p>
    <w:p w14:paraId="0B7342C1">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675D2606">
      <w:pPr>
        <w:rPr>
          <w:rFonts w:hint="eastAsia" w:ascii="方正书宋_GBK" w:hAnsi="方正书宋_GBK" w:eastAsia="方正书宋_GBK"/>
          <w:sz w:val="28"/>
          <w:szCs w:val="24"/>
        </w:rPr>
      </w:pPr>
      <w:r>
        <w:rPr>
          <w:rFonts w:hint="eastAsia" w:ascii="方正书宋_GBK" w:hAnsi="方正书宋_GBK" w:eastAsia="方正书宋_GBK"/>
          <w:sz w:val="28"/>
          <w:szCs w:val="24"/>
        </w:rPr>
        <w:t>　　《外商投资法》设置了五年过渡期，在过渡期内给予原三资企业选择调整组织形式、组织机构等事项的选择权，体现了立法对原三资企业组织形式变革的审慎态度，不仅是对企业内部治理的尊重，也是对平稳过渡的保障。本案明确，未完成组织形式调整的原中外合资经营企业，在过渡期内仍应以董事会为最高权力机构。同时，充分尊重当事人协商一致的真实意思表示，严格依照法律规定审查股东会召开的程序合法要件，保障各方投资者平等参与企业经营决策的合法权益，促进外商投资企业依照法定程序调整其组织形式、组织机构及其活动准则。</w:t>
      </w:r>
    </w:p>
    <w:p w14:paraId="604761E0">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7E884103">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sz w:val="30"/>
          <w:szCs w:val="24"/>
        </w:rPr>
        <w:t>【案例五】</w:t>
      </w:r>
    </w:p>
    <w:p w14:paraId="727663AF">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pacing w:val="36"/>
          <w:sz w:val="36"/>
          <w:szCs w:val="24"/>
        </w:rPr>
        <w:t>黄山某公司与上海某公司买卖合同纠纷案</w:t>
      </w:r>
    </w:p>
    <w:p w14:paraId="75E96E15">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——明确国际商事惯例辨别路径  维护国际贸易市场秩序</w:t>
      </w:r>
    </w:p>
    <w:p w14:paraId="584A9D14">
      <w:pPr>
        <w:rPr>
          <w:rFonts w:hint="eastAsia" w:ascii="方正楷体_GBK" w:hAnsi="方正楷体_GBK" w:eastAsia="方正楷体_GBK"/>
          <w:sz w:val="30"/>
          <w:szCs w:val="24"/>
        </w:rPr>
      </w:pPr>
    </w:p>
    <w:p w14:paraId="43C07B0F">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09E61FB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黄山某公司与上海某公司（港资企业）于2022年1月签订《销售订单》，订购一批原产于荷兰的某品牌电子芯片，合同载有“NCNR”条款即不能取消、不能退货（No cancel, no return）。要求交期为2022年3月5日。该订单下方载明具体的“销售条款为：1.需方确认“NCNR”货物的订单不得取消，不得要求改变送货日期、不得变更的，如果交货日期不明确的，供方有权自从原生产商收到产品后30日内送货并向买方开据发票。2.‘客户要求交期’作为预测仅供参考，实际交货日期以卖方确认并通知买方的日期为准。”后，上海某公司多次向黄山某公司发送电子邮件载明：受到全球范围内“芯片荒”影响，生产商无法出货，货物交期将相应推迟。黄山某公司遂表示要求解除订单、返还货款。双方均认可黄山某公司已从其他供应商处购买用于替代案涉产品的芯片。此外，多个国际知名芯片生产商官方网站所公示的订单模板条款中，均包含与案涉“NCNR”条款类似表述的条款。黄山某公司诉称：上海某公司未能及时交付货物，故请求判令解除合同、双倍返还定金。上海某公司辩称：“NCNR”条款构成芯片产业的国际商事惯例，并据此主张驳回黄山某公司的诉请。</w:t>
      </w:r>
    </w:p>
    <w:p w14:paraId="0122EB70">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66C0A3CA">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理认为，虽然目前理论和实务界对于如何判断一项规则是否属于国际商事惯例没有明确的判断标准，但通常认为，国际商事惯例应当具备若干基本特征或要件，如经过长期反复的实践而形成、被许多国家和地区认可、具有普遍的适用性和较高的知名度、具有确定的权利义务内容、针对性强、处在发展演变之中等等。上海某公司仅能够举证证明“NCNR”属于芯片行业常用约定的缩写表述或约定俗成的习惯用语，不能证明其已经构成国际商事惯例。在此前提下，将“NCNR”作为合同约定内容进行审查，该条款仅能够构成跨境贸易领域中一种约定俗成的习惯性表述。然与此同时，由于案涉产品为特定行业的跨境产品，受到国际市场影响较为明显，系争期间内确实发生了全球范围内的“芯片荒”现象，黄山某公司对此明知，且双方并未明确约定货物的交付期限，不应认为上海某公司的交付已经超出了合理的履行期限而构成违约。最终法院判决：驳回黄山某公司的全部诉讼请求。</w:t>
      </w:r>
    </w:p>
    <w:p w14:paraId="227779FA">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2057FE94">
      <w:pPr>
        <w:rPr>
          <w:rFonts w:hint="eastAsia" w:ascii="方正书宋_GBK" w:hAnsi="方正书宋_GBK" w:eastAsia="方正书宋_GBK"/>
          <w:sz w:val="28"/>
          <w:szCs w:val="24"/>
        </w:rPr>
      </w:pPr>
      <w:r>
        <w:rPr>
          <w:rFonts w:hint="eastAsia" w:ascii="方正书宋_GBK" w:hAnsi="方正书宋_GBK" w:eastAsia="方正书宋_GBK"/>
          <w:sz w:val="28"/>
          <w:szCs w:val="24"/>
        </w:rPr>
        <w:t>　　全球范围内曾出现半导体供应普遍短缺现象，即全球性“芯片荒”。受其影响，汽车、智能手机、计算机等产业链上下游交货延迟短少情况频发，导致较多知名终端企业被迫减产或停产。同时，极端气候、单边贸易措施等因素亦对芯片国际贸易市场秩序造成一定冲击。以半导体产业上述“芯片荒”事件为代表，国际贸易市场往往存在不确定性强、波动幅度大、影响因素多的特点。本案明确了国际商事惯例的辨别路径，体现了我国法院在处理国际商事争议中充分考量具体行业的实践特点、国际背景及市场风险等因素特性，为有效维护国际贸易市场秩序、促进国际经贸规则形成，提高我国企业应对国际市场风险与贸易争端的能力提供实践范本。</w:t>
      </w:r>
    </w:p>
    <w:p w14:paraId="6782D48A">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47BA5A19">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【案例六】</w:t>
      </w:r>
    </w:p>
    <w:p w14:paraId="2BDC4271">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某科技公司与某医学研究公司股权转让纠纷主管异议案</w:t>
      </w:r>
    </w:p>
    <w:p w14:paraId="142AE054">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——准确识别逃避仲裁主管行为  规范诉讼权利行使方式</w:t>
      </w:r>
    </w:p>
    <w:p w14:paraId="0F417996">
      <w:pPr>
        <w:rPr>
          <w:rFonts w:hint="eastAsia" w:ascii="方正楷体_GBK" w:hAnsi="方正楷体_GBK" w:eastAsia="方正楷体_GBK"/>
          <w:sz w:val="30"/>
          <w:szCs w:val="24"/>
        </w:rPr>
      </w:pPr>
    </w:p>
    <w:p w14:paraId="3E1C89A5">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xml:space="preserve">　　【基本案情】  </w:t>
      </w:r>
    </w:p>
    <w:p w14:paraId="26565343">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某科技公司与某医学研究公司因股权转让发生纠纷。2014年6月，双方签订股权转让协议（以下简称2014年股转协议），约定因该协议产生的所有争议，均应提交上海国际经济贸易仲裁委员会进行仲裁。2015年8月，双方再次签订股权转让协议（以下简称2015年股转协议），约定履行中若发生争议提交中国国际经济贸易仲裁委员会，依据当时有效的仲裁规则在上海进行仲裁。同年，双方另签订2015年补充协议，约定此前双方达成的任何协议以该协议约定为准，双方若因协议产生分歧，任何一方可向目标公司所在地人民法院提起诉讼解决。</w:t>
      </w:r>
    </w:p>
    <w:p w14:paraId="0D122625">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2017年4月，某科技公司依据2015年股转协议向中国国际经济贸易仲裁委员会提起仲裁。同年6月，某医学研究公司向北京市第四中级人民法院提起申请确认仲裁协议效力之诉，请求确认2015年股转协议中的仲裁条款无效，主张应按2014年股转协议约定由上海国际经济贸易仲裁委会进行仲裁。法院裁定2014年股转协议中的仲裁条款有效，应由上海国际经济贸易仲裁委会进行仲裁。</w:t>
      </w:r>
    </w:p>
    <w:p w14:paraId="167500F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2019年7月，某科技公司向上海国际经济贸易仲裁委员会提起仲裁。2019年10月，某医学研究公司向上海市第二中级人民法院提起申请确认仲裁协议效力之诉，请求确认2014年股转协议中的仲裁条款无效。法院裁定驳回某医学研究公司申请，后仲裁程序恢复。</w:t>
      </w:r>
    </w:p>
    <w:p w14:paraId="34A5B43C">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2020年6月，某医学研究公司再次向仲裁庭提出管辖权异议，并首次披露2015年补充协议。某科技公司表示不认可2015年补充协议的真实性，后仲裁中依法进行鉴定。2021年3月，仲裁庭做出管辖权异议不成立的决定。2022年仲裁庭做出仲裁裁决，认为2015年补充协议真实有效并属于仲裁庭管辖范围，并以2015年补充协议为依据驳回了某科技公司的大部分仲裁请求。该仲裁裁决作出后，双方未履行该裁决，亦未向人民法院申请撤销或不予执行。</w:t>
      </w:r>
    </w:p>
    <w:p w14:paraId="742766A1">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2023年6月，某科技公司以2015年补充协议为管辖依据诉至法院，并认为由于其在仲裁中未认可2015年补充协议真实性，故未经过实体审理，其本次起诉不构成重复诉讼。某医学研究公司再次于答辩期内提出主管权异议，认为本案属于上海国际经济贸易仲裁委员会的主管范围。</w:t>
      </w:r>
    </w:p>
    <w:p w14:paraId="23565013">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xml:space="preserve">　　【裁判结果】  </w:t>
      </w:r>
    </w:p>
    <w:p w14:paraId="763C962E">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查认为，仲裁协议可执行性是效力审查的核心原则，具体审查可遵循“时间要件”与“结果要件”双层标准。关于时间要件，双方提出主管异议的时间均超出《中华人民共和国民事诉讼法》规定的法定异议期（即首次开庭前），程序权利行使失当。关于结果要件，双方反复提出矛盾异议、裁决后另行起诉等行为，明显超出合理行使权利的界限：在主观上缺乏诚实信用，在客观上恶意拖延争议解决进程，损害仲裁程序权威性及对方当事人合法权益。基于此，法院认定该行为构成逃避仲裁主管的不诚信行为。尽管现行法律未对此类行为设定直接处罚规则，但法院在裁判文书中对其性质作出明确负面定性，指出其破坏争议解决秩序、侵蚀仲裁制度公信力的本质。最终法院裁定：本案争议应交由仲裁机构行使主管权。</w:t>
      </w:r>
    </w:p>
    <w:p w14:paraId="27153866">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xml:space="preserve">　　【典型意义】  </w:t>
      </w:r>
    </w:p>
    <w:p w14:paraId="1D12381B">
      <w:pPr>
        <w:rPr>
          <w:rFonts w:hint="eastAsia" w:ascii="方正书宋_GBK" w:hAnsi="方正书宋_GBK" w:eastAsia="方正书宋_GBK"/>
          <w:sz w:val="28"/>
          <w:szCs w:val="24"/>
        </w:rPr>
      </w:pPr>
      <w:r>
        <w:rPr>
          <w:rFonts w:hint="eastAsia" w:ascii="方正书宋_GBK" w:hAnsi="方正书宋_GBK" w:eastAsia="方正书宋_GBK"/>
          <w:sz w:val="28"/>
          <w:szCs w:val="24"/>
        </w:rPr>
        <w:t>　　本案系界定“逃避仲裁主管行为”并确立审查标准的典型案例，是构建仲裁友好型司法环境的重要体现。在上海加快建设国际商事仲裁中心的背景下，准确识别逃避仲裁主管行为、及时给予负面法律评价，具有积极的现实意义。本案采用了“一原则、二要件、一定性”审查路径：以仲裁协议可执行性为效力审查基本原则，确保司法审查符合支持仲裁的国际趋势；以异议提出时间合法性作为形式要件，以行为是否悖离诚信合理作为实质要件，构建双层识别标准；将符合前述要件的行为明确司法定性为不诚信行为，并通过裁判说理给予其负面法律评价。本案裁判尤其强调仲裁保密性衍生的信息不对称不得成为当事人恶意规避仲裁管辖的工具，利用该状态实施的突袭异议及裁决后滥诉行为应受司法否定评价。</w:t>
      </w:r>
    </w:p>
    <w:p w14:paraId="36CAFE9D">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58F18138">
      <w:pPr>
        <w:pStyle w:val="7"/>
        <w:spacing w:beforeLines="0" w:afterLines="0"/>
        <w:rPr>
          <w:rFonts w:hint="eastAsia" w:ascii="方正黑体_GBK" w:hAnsi="方正黑体_GBK" w:eastAsia="方正黑体_GBK"/>
          <w:sz w:val="30"/>
          <w:szCs w:val="24"/>
        </w:rPr>
      </w:pPr>
      <w:r>
        <w:rPr>
          <w:rFonts w:hint="eastAsia" w:ascii="方正黑体_GBK" w:hAnsi="方正黑体_GBK" w:eastAsia="方正黑体_GBK"/>
          <w:sz w:val="30"/>
          <w:szCs w:val="24"/>
        </w:rPr>
        <w:t>【案例七】</w:t>
      </w:r>
    </w:p>
    <w:p w14:paraId="4BDFCF87">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上海凯某国际贸易有限公司</w:t>
      </w:r>
    </w:p>
    <w:p w14:paraId="4F189413">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z w:val="36"/>
          <w:szCs w:val="24"/>
        </w:rPr>
        <w:t>与上海凯某制衣有限公司公司解散纠纷案</w:t>
      </w:r>
    </w:p>
    <w:p w14:paraId="131F7F43">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——规范域外法查明及适用  合理认定诉讼主体资格</w:t>
      </w:r>
    </w:p>
    <w:p w14:paraId="413CA458">
      <w:pPr>
        <w:rPr>
          <w:rFonts w:hint="eastAsia" w:ascii="方正楷体_GBK" w:hAnsi="方正楷体_GBK" w:eastAsia="方正楷体_GBK"/>
          <w:sz w:val="30"/>
          <w:szCs w:val="24"/>
        </w:rPr>
      </w:pPr>
    </w:p>
    <w:p w14:paraId="39507CB9">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xml:space="preserve">　　【基本案情】    </w:t>
      </w:r>
    </w:p>
    <w:p w14:paraId="6DDD458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上海凯某制衣有限公司是上海凯某国际贸易有限公司与华某有限公司的中外合营公司，经营期限至2020年届满。上海凯某国际贸易有限公司持股70%，华某有限公司持股30%，其中华某有限公司系注册于香港特别行政区的企业。华某有限公司已于2018年9月26日被香港特别行政区高等法院原讼法庭经司法强制清盘后宣告解散。经香港特别行政区法律查明，经司法强制清盘并宣告解散的公司，在法定期限内、无法定事由申请恢复主体资格的，其主体资格已经消灭，无法定的代表人可代表该主体对外做出意思表示。此外，上海凯某制衣有限公司于2013年起停业，此后年度审计报告中利润表均为空白，其工商内档中自2003年起无董事会决议或股东会决议。根据上海凯某制衣有限公司的章程，出席人数不足董事会的2/3时决议无效，公司的解散、终止等重大事项必须由董事会全体一致通过。上海凯某国际贸易有限公司诉称：2020年经营期限届至后，其欲注销上海凯某制衣有限公司，但因无法与华某有限公司形成关于公司注销的董事会决议或股东会决议，市场监管部门无法办理，现已穷尽救济方式，故请求司法解散公司。</w:t>
      </w:r>
    </w:p>
    <w:p w14:paraId="7FB73CEB">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xml:space="preserve">　　【裁判结果】    </w:t>
      </w:r>
    </w:p>
    <w:p w14:paraId="60CE10E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理认为，本案系公司解散纠纷，原则上应追加华某有限公司作为本案第三人参加诉讼，然华某有限公司已于2018年经司法强制清盘后被宣告解散。就华某有限公司解散后的主体状态、诉讼主体资格等问题，属于其民事行为能力问题，应当适用香港法予以确认。首先，关于华某有限公司的主体资格。在香港法中，公司被强制清盘并宣告无效后，主体已经消灭。其次，关于是否有华某有限公司的其他关联主体能够代表华创公司参加本案诉讼。在内地法律项下，通常认为公司主体消灭后，可由其注销前做出保结承诺的保结人（通常为公司股东）代为参加诉讼。然于香港法项下，如有债务需由原公司承担，则由前述申请解散无效制度予以救济，由公司股东或其他主体代为参加诉讼并不具有与内地法项下相当的合理性。此外，考虑到上海凯某制衣有限公司经营已经陷入僵局，本案因无法追加第三人参与诉讼，亦不具备组织调解协商的可能性。最终法院判决：上海凯某制衣有限公司自判决生效之日起解散。</w:t>
      </w:r>
    </w:p>
    <w:p w14:paraId="3BF5D131">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2D483EBF">
      <w:pPr>
        <w:rPr>
          <w:rFonts w:hint="eastAsia" w:ascii="方正书宋_GBK" w:hAnsi="方正书宋_GBK" w:eastAsia="方正书宋_GBK"/>
          <w:sz w:val="28"/>
          <w:szCs w:val="24"/>
        </w:rPr>
      </w:pPr>
      <w:r>
        <w:rPr>
          <w:rFonts w:hint="eastAsia" w:ascii="方正书宋_GBK" w:hAnsi="方正书宋_GBK" w:eastAsia="方正书宋_GBK"/>
          <w:sz w:val="28"/>
          <w:szCs w:val="24"/>
        </w:rPr>
        <w:t>　　本案系公司经营僵局后股东诉请解散公司的典型案件，涉及在其他香港股东已被香港法院强制司法清盘并宣告解散的情形下，对该香港股东主体状态、行为能力与诉讼资格等审查问题。本案中，经委托香港法查明，已被强制司法清盘并宣告解散的公司，其主体资格在法定期限内因法定事由可被申请恢复，未申请恢复的，应当认为其主体资格已经消灭，且无法定的代表人员可以代表该公司对外做出意思表示。故在此情形下，法院可不追加香港公司作为第三人或其关联人员参加诉讼，应当认为公司经营陷入无法通过内部救济途径解决的客观僵局并判处公司解散。该案裁判确定了以实质经营状态而非形式决议作为司法解散判断标准，为长期停业、股东失联、陷入僵局的外商投资企业提供解困路径，保障外商投资企业有序退出市场。</w:t>
      </w:r>
    </w:p>
    <w:p w14:paraId="2E4B9291">
      <w:pPr>
        <w:rPr>
          <w:rFonts w:hint="eastAsia" w:ascii="方正书宋_GBK" w:hAnsi="方正书宋_GBK" w:eastAsia="方正书宋_GBK"/>
          <w:sz w:val="28"/>
          <w:szCs w:val="24"/>
        </w:rPr>
      </w:pPr>
      <w:r>
        <w:rPr>
          <w:rFonts w:hint="eastAsia" w:ascii="方正书宋_GBK" w:hAnsi="方正书宋_GBK" w:eastAsia="方正书宋_GBK"/>
          <w:sz w:val="28"/>
          <w:szCs w:val="24"/>
        </w:rPr>
        <w:br w:type="page"/>
      </w:r>
    </w:p>
    <w:p w14:paraId="2F7BE16C">
      <w:pPr>
        <w:pStyle w:val="7"/>
        <w:spacing w:beforeLines="0" w:afterLines="0"/>
        <w:rPr>
          <w:rFonts w:hint="eastAsia" w:ascii="方正书宋_GBK" w:hAnsi="方正书宋_GBK" w:eastAsia="方正书宋_GBK"/>
          <w:sz w:val="28"/>
          <w:szCs w:val="24"/>
        </w:rPr>
      </w:pPr>
      <w:r>
        <w:rPr>
          <w:rFonts w:hint="eastAsia" w:ascii="方正黑体_GBK" w:hAnsi="方正黑体_GBK" w:eastAsia="方正黑体_GBK"/>
          <w:sz w:val="30"/>
          <w:szCs w:val="24"/>
        </w:rPr>
        <w:t>【案例八】</w:t>
      </w:r>
    </w:p>
    <w:p w14:paraId="1926C73B">
      <w:pPr>
        <w:pStyle w:val="7"/>
        <w:spacing w:beforeLines="0" w:afterLines="0"/>
        <w:jc w:val="center"/>
        <w:rPr>
          <w:rFonts w:hint="eastAsia" w:ascii="方正黑体_GBK" w:hAnsi="方正黑体_GBK" w:eastAsia="方正黑体_GBK"/>
          <w:sz w:val="36"/>
          <w:szCs w:val="24"/>
        </w:rPr>
      </w:pPr>
      <w:r>
        <w:rPr>
          <w:rFonts w:hint="eastAsia" w:ascii="方正黑体_GBK" w:hAnsi="方正黑体_GBK" w:eastAsia="方正黑体_GBK"/>
          <w:spacing w:val="36"/>
          <w:sz w:val="36"/>
          <w:szCs w:val="24"/>
        </w:rPr>
        <w:t>徐某与庚某公司公司解散纠纷案</w:t>
      </w:r>
    </w:p>
    <w:p w14:paraId="15758FCB">
      <w:pPr>
        <w:jc w:val="center"/>
        <w:rPr>
          <w:rFonts w:hint="eastAsia" w:ascii="方正楷体_GBK" w:hAnsi="方正楷体_GBK" w:eastAsia="方正楷体_GBK"/>
          <w:sz w:val="30"/>
          <w:szCs w:val="24"/>
        </w:rPr>
      </w:pPr>
      <w:r>
        <w:rPr>
          <w:rFonts w:hint="eastAsia" w:ascii="方正楷体_GBK" w:hAnsi="方正楷体_GBK" w:eastAsia="方正楷体_GBK"/>
          <w:sz w:val="30"/>
          <w:szCs w:val="24"/>
        </w:rPr>
        <w:t>——实质化解公司内部纠纷  强化外商投资信心</w:t>
      </w:r>
    </w:p>
    <w:p w14:paraId="542A7063">
      <w:pPr>
        <w:rPr>
          <w:rFonts w:hint="eastAsia" w:ascii="方正楷体_GBK" w:hAnsi="方正楷体_GBK" w:eastAsia="方正楷体_GBK"/>
          <w:sz w:val="30"/>
          <w:szCs w:val="24"/>
        </w:rPr>
      </w:pPr>
    </w:p>
    <w:p w14:paraId="74C66682">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【基本案情】</w:t>
      </w:r>
    </w:p>
    <w:p w14:paraId="105B276D">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本案系徐某诉庚某公司、第三人股东R某某的公司解散纠纷。庚某公司为外商合资企业，成立于2015年1月16日，属软件和信息技术行业，股东M某某担任法定代表人、执行董事，股东R某某担任监事，两人各持股50%。2021年10月，股东M某某去世，徐某作为M某某配偶、法定继承人，因与股东R某某理念不合，双方围绕股东资格确认、公司损害股东利益等一系列纠纷诉诸法院，庚某公司自2021年10月起也因频繁涉诉、账户查封等原因陷入经营异常。本案审理过程中，各方存在对抗情绪，案件面临进入长周期涉外送达的困境。</w:t>
      </w:r>
    </w:p>
    <w:p w14:paraId="1F84D38A">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【裁判结果】</w:t>
      </w:r>
    </w:p>
    <w:p w14:paraId="12C66AA2">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法院经审理认为，庚某公司作为软件和信息技术行业的外商投资企业，在股东M某某实际负责经营期间经营状况良好。现经营异常主要症结在于徐某与股东R某某经营理念不合且无法有效沟通导致内部矛盾尖锐。经前期与庚某公司现实际管理人员了解公司状况，法院通过认定概括授权征询股东R某某和徐某意见，引入并联合上海贸促国际商事调解中心组织本案调解。调解中，基于徐某无力经营公司的客观情况和股东R某某继续经营公司的主观意愿，联合调解成功促成双方达成调解方案，协议约定徐某签署退股协议退出庚某公司，双方一并撤回在审其他诉讼案件、解除对庚某公司的保全措施并移交相应证照文件，由股东R某某继续经营庚某公司。现各方已配合完成减资和工商登记变更程序，庚某公司也已恢复正常经营。</w:t>
      </w:r>
    </w:p>
    <w:p w14:paraId="4407202E">
      <w:pPr>
        <w:pStyle w:val="7"/>
        <w:spacing w:beforeLines="0" w:afterLines="0"/>
        <w:rPr>
          <w:rFonts w:hint="eastAsia" w:ascii="方正黑体_GBK" w:hAnsi="方正黑体_GBK" w:eastAsia="方正黑体_GBK"/>
          <w:sz w:val="28"/>
          <w:szCs w:val="24"/>
        </w:rPr>
      </w:pPr>
      <w:r>
        <w:rPr>
          <w:rFonts w:hint="eastAsia" w:ascii="方正黑体_GBK" w:hAnsi="方正黑体_GBK" w:eastAsia="方正黑体_GBK"/>
          <w:sz w:val="28"/>
          <w:szCs w:val="24"/>
        </w:rPr>
        <w:t>　　【典型意义】</w:t>
      </w:r>
    </w:p>
    <w:p w14:paraId="7E00A178">
      <w:pPr>
        <w:pStyle w:val="7"/>
        <w:spacing w:beforeLines="0" w:afterLines="0"/>
        <w:rPr>
          <w:rFonts w:hint="eastAsia" w:ascii="方正书宋_GBK" w:hAnsi="方正书宋_GBK" w:eastAsia="方正书宋_GBK"/>
          <w:sz w:val="28"/>
          <w:szCs w:val="24"/>
        </w:rPr>
      </w:pPr>
      <w:r>
        <w:rPr>
          <w:rFonts w:hint="eastAsia" w:ascii="方正书宋_GBK" w:hAnsi="方正书宋_GBK" w:eastAsia="方正书宋_GBK"/>
          <w:sz w:val="28"/>
          <w:szCs w:val="24"/>
        </w:rPr>
        <w:t>　　2024年6月1日，浦东法院自贸区法庭作为基层立法联系点，推动并促成《浦东新区健全涉外商事争议多元解决机制若干规定》正式实施。同年8月19日，浦东法院与临港新片区管委会、浦东新区司法局协同设立“涉外商事一站式争议解决中心”，本案即为此背景下实质性多元有效化解商事纠纷、优化营商环境的成功尝试之一。本案的联合调解办结方式，一次性实质性化解了各方当事人之间已诉的和潜在的各种衍生纠纷，降低公司内部矛盾对外部经营的干扰，既依法维护了股东的合法权益，又将公司从经营异常中解救出来，同时坚定了外商的投资信心，为外资企业茁壮成长提供了稳定可预期的沃土，有利于营造公正透明的市场化、法治化、国际化一流营商环境。</w:t>
      </w:r>
    </w:p>
    <w:p w14:paraId="1EF60556">
      <w:pPr>
        <w:rPr>
          <w:rFonts w:hint="eastAsia" w:ascii="方正楷体_GBK" w:hAnsi="方正楷体_GBK" w:eastAsia="方正楷体_GBK"/>
          <w:sz w:val="30"/>
          <w:szCs w:val="24"/>
        </w:rPr>
      </w:pPr>
    </w:p>
    <w:sectPr>
      <w:footerReference r:id="rId4" w:type="default"/>
      <w:pgSz w:w="11906" w:h="16838"/>
      <w:pgMar w:top="1134" w:right="1134" w:bottom="1134" w:left="1134" w:header="720" w:footer="720" w:gutter="0"/>
      <w:lnNumType w:countBy="0" w:distance="36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3C1FD">
    <w:pPr>
      <w:pStyle w:val="2"/>
      <w:tabs>
        <w:tab w:val="center" w:pos="4819"/>
        <w:tab w:val="clear" w:pos="4153"/>
      </w:tabs>
      <w:rPr>
        <w:sz w:val="21"/>
        <w:szCs w:val="21"/>
      </w:rPr>
    </w:pPr>
    <w:r>
      <w:rPr>
        <w:rFonts w:hint="eastAsia"/>
        <w:sz w:val="21"/>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CAFC">
    <w:pPr>
      <w:pStyle w:val="2"/>
      <w:tabs>
        <w:tab w:val="center" w:pos="4819"/>
        <w:tab w:val="clear" w:pos="4153"/>
      </w:tabs>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C9A2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9C9A23">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054FC"/>
    <w:rsid w:val="11FC5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无段落样式]"/>
    <w:unhideWhenUsed/>
    <w:uiPriority w:val="99"/>
    <w:pPr>
      <w:widowControl w:val="0"/>
      <w:autoSpaceDE w:val="0"/>
      <w:autoSpaceDN w:val="0"/>
      <w:adjustRightInd w:val="0"/>
      <w:spacing w:beforeLines="0" w:afterLines="0" w:line="288" w:lineRule="auto"/>
      <w:jc w:val="both"/>
      <w:textAlignment w:val="center"/>
    </w:pPr>
    <w:rPr>
      <w:rFonts w:hint="eastAsia" w:ascii="宋体" w:hAnsi="宋体" w:eastAsia="宋体"/>
      <w:color w:val="000000"/>
      <w:sz w:val="24"/>
      <w:szCs w:val="24"/>
      <w:lang w:val="zh-CN"/>
    </w:rPr>
  </w:style>
  <w:style w:type="paragraph" w:customStyle="1" w:styleId="7">
    <w:name w:val="[基本段落]"/>
    <w:basedOn w:val="6"/>
    <w:unhideWhenUsed/>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2025-10-28T06:04:00Z</dcterms:created>
  <dc:creator>小太阳</dc:creator>
  <cp:lastModifiedBy>小太阳</cp:lastModifiedBy>
  <dcterms:modified xsi:type="dcterms:W3CDTF">2025-10-28T06:09:14Z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5B314EBF728F416F8E452E9C060F0C42_11</vt:lpwstr>
  </property>
  <property fmtid="{D5CDD505-2E9C-101B-9397-08002B2CF9AE}" pid="4" name="KSOTemplateDocerSaveRecord">
    <vt:lpwstr>eyJoZGlkIjoiY2QzYWYwZGFiOTU3ZjhlNWUzNzEwZTdlNWJlNWU2YzQiLCJ1c2VySWQiOiIxMTM2NDM2NDkwIn0=</vt:lpwstr>
  </property>
</Properties>
</file>