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Arial Unicode MS" w:hAnsi="Arial Unicode MS" w:eastAsia="Arial Unicode MS" w:cs="Arial Unicode MS"/>
          <w:sz w:val="36"/>
          <w:szCs w:val="36"/>
          <w:lang w:eastAsia="zh-CN"/>
        </w:rPr>
      </w:pPr>
    </w:p>
    <w:p>
      <w:pPr>
        <w:jc w:val="center"/>
        <w:rPr>
          <w:rFonts w:hint="eastAsia" w:ascii="Arial Unicode MS" w:hAnsi="Arial Unicode MS" w:eastAsia="Arial Unicode MS" w:cs="Arial Unicode MS"/>
          <w:sz w:val="36"/>
          <w:szCs w:val="36"/>
          <w:lang w:eastAsia="zh-CN"/>
        </w:rPr>
      </w:pPr>
    </w:p>
    <w:p>
      <w:pPr>
        <w:jc w:val="center"/>
        <w:rPr>
          <w:rFonts w:hint="eastAsia" w:ascii="Arial Unicode MS" w:hAnsi="Arial Unicode MS" w:eastAsia="Arial Unicode MS" w:cs="Arial Unicode MS"/>
          <w:sz w:val="36"/>
          <w:szCs w:val="36"/>
          <w:lang w:eastAsia="zh-CN"/>
        </w:rPr>
      </w:pPr>
    </w:p>
    <w:p>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上海市崇明区人民法院</w:t>
      </w:r>
    </w:p>
    <w:p>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生态环境司法保护十个典型案例</w:t>
      </w: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（2016年6月-2026年5月）</w:t>
      </w:r>
    </w:p>
    <w:p>
      <w:pPr>
        <w:jc w:val="center"/>
        <w:rPr>
          <w:rFonts w:hint="eastAsia" w:ascii="Arial Unicode MS" w:hAnsi="Arial Unicode MS" w:eastAsia="Arial Unicode MS" w:cs="Arial Unicode MS"/>
          <w:sz w:val="36"/>
          <w:szCs w:val="36"/>
          <w:lang w:eastAsia="zh-CN"/>
        </w:rPr>
      </w:pPr>
    </w:p>
    <w:p>
      <w:pPr>
        <w:jc w:val="center"/>
        <w:rPr>
          <w:rFonts w:hint="eastAsia" w:ascii="Arial Unicode MS" w:hAnsi="Arial Unicode MS" w:eastAsia="Arial Unicode MS" w:cs="Arial Unicode MS"/>
          <w:sz w:val="36"/>
          <w:szCs w:val="36"/>
          <w:lang w:eastAsia="zh-CN"/>
        </w:rPr>
      </w:pPr>
    </w:p>
    <w:p>
      <w:pPr>
        <w:jc w:val="center"/>
        <w:rPr>
          <w:rFonts w:hint="eastAsia" w:ascii="Arial Unicode MS" w:hAnsi="Arial Unicode MS" w:eastAsia="Arial Unicode MS" w:cs="Arial Unicode MS"/>
          <w:sz w:val="36"/>
          <w:szCs w:val="36"/>
          <w:lang w:eastAsia="zh-CN"/>
        </w:rPr>
      </w:pPr>
    </w:p>
    <w:p>
      <w:pPr>
        <w:jc w:val="center"/>
        <w:rPr>
          <w:rFonts w:hint="eastAsia" w:ascii="Arial Unicode MS" w:hAnsi="Arial Unicode MS" w:eastAsia="Arial Unicode MS" w:cs="Arial Unicode MS"/>
          <w:sz w:val="36"/>
          <w:szCs w:val="36"/>
          <w:lang w:eastAsia="zh-CN"/>
        </w:rPr>
      </w:pPr>
    </w:p>
    <w:p>
      <w:pPr>
        <w:jc w:val="center"/>
        <w:rPr>
          <w:rFonts w:hint="eastAsia" w:ascii="Arial Unicode MS" w:hAnsi="Arial Unicode MS" w:eastAsia="Arial Unicode MS" w:cs="Arial Unicode MS"/>
          <w:sz w:val="36"/>
          <w:szCs w:val="36"/>
          <w:lang w:eastAsia="zh-CN"/>
        </w:rPr>
      </w:pPr>
    </w:p>
    <w:p>
      <w:pPr>
        <w:jc w:val="center"/>
        <w:rPr>
          <w:rFonts w:hint="eastAsia" w:ascii="Arial Unicode MS" w:hAnsi="Arial Unicode MS" w:eastAsia="Arial Unicode MS" w:cs="Arial Unicode MS"/>
          <w:sz w:val="36"/>
          <w:szCs w:val="36"/>
          <w:lang w:eastAsia="zh-CN"/>
        </w:rPr>
      </w:pPr>
    </w:p>
    <w:p>
      <w:pPr>
        <w:jc w:val="center"/>
        <w:rPr>
          <w:rFonts w:hint="eastAsia" w:ascii="Arial Unicode MS" w:hAnsi="Arial Unicode MS" w:eastAsia="Arial Unicode MS" w:cs="Arial Unicode MS"/>
          <w:sz w:val="36"/>
          <w:szCs w:val="36"/>
          <w:lang w:eastAsia="zh-CN"/>
        </w:rPr>
      </w:pPr>
    </w:p>
    <w:p>
      <w:pPr>
        <w:jc w:val="center"/>
        <w:rPr>
          <w:rFonts w:hint="eastAsia" w:ascii="Arial Unicode MS" w:hAnsi="Arial Unicode MS" w:eastAsia="Arial Unicode MS" w:cs="Arial Unicode MS"/>
          <w:sz w:val="36"/>
          <w:szCs w:val="36"/>
          <w:lang w:eastAsia="zh-CN"/>
        </w:rPr>
      </w:pPr>
    </w:p>
    <w:p>
      <w:pPr>
        <w:jc w:val="center"/>
        <w:rPr>
          <w:rFonts w:hint="eastAsia" w:ascii="Arial Unicode MS" w:hAnsi="Arial Unicode MS" w:eastAsia="Arial Unicode MS" w:cs="Arial Unicode MS"/>
          <w:sz w:val="36"/>
          <w:szCs w:val="36"/>
          <w:lang w:eastAsia="zh-CN"/>
        </w:rPr>
      </w:pPr>
    </w:p>
    <w:p>
      <w:pPr>
        <w:jc w:val="center"/>
        <w:rPr>
          <w:rFonts w:hint="eastAsia" w:ascii="Arial Unicode MS" w:hAnsi="Arial Unicode MS" w:eastAsia="Arial Unicode MS" w:cs="Arial Unicode MS"/>
          <w:sz w:val="36"/>
          <w:szCs w:val="36"/>
          <w:lang w:eastAsia="zh-CN"/>
        </w:rPr>
      </w:pPr>
    </w:p>
    <w:p>
      <w:pPr>
        <w:jc w:val="center"/>
        <w:rPr>
          <w:rFonts w:hint="eastAsia" w:ascii="Arial Unicode MS" w:hAnsi="Arial Unicode MS" w:eastAsia="Arial Unicode MS" w:cs="Arial Unicode MS"/>
          <w:sz w:val="36"/>
          <w:szCs w:val="36"/>
          <w:lang w:eastAsia="zh-CN"/>
        </w:rPr>
      </w:pPr>
    </w:p>
    <w:p>
      <w:pPr>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2026年6月3日</w:t>
      </w:r>
    </w:p>
    <w:p>
      <w:pPr>
        <w:jc w:val="center"/>
        <w:rPr>
          <w:rFonts w:hint="eastAsia" w:ascii="Arial Unicode MS" w:hAnsi="Arial Unicode MS" w:eastAsia="Arial Unicode MS" w:cs="Arial Unicode MS"/>
          <w:sz w:val="36"/>
          <w:szCs w:val="36"/>
          <w:lang w:eastAsia="zh-CN"/>
        </w:rPr>
      </w:pPr>
    </w:p>
    <w:p>
      <w:pPr>
        <w:jc w:val="center"/>
        <w:rPr>
          <w:rFonts w:hint="eastAsia" w:ascii="Arial Unicode MS" w:hAnsi="Arial Unicode MS" w:eastAsia="Arial Unicode MS" w:cs="Arial Unicode MS"/>
          <w:sz w:val="36"/>
          <w:szCs w:val="36"/>
          <w:lang w:eastAsia="zh-CN"/>
        </w:rPr>
      </w:pPr>
    </w:p>
    <w:p>
      <w:pPr>
        <w:jc w:val="center"/>
        <w:rPr>
          <w:rFonts w:hint="eastAsia" w:ascii="Arial Unicode MS" w:hAnsi="Arial Unicode MS" w:eastAsia="Arial Unicode MS" w:cs="Arial Unicode MS"/>
          <w:sz w:val="36"/>
          <w:szCs w:val="36"/>
          <w:lang w:eastAsia="zh-CN"/>
        </w:rPr>
      </w:pPr>
    </w:p>
    <w:p>
      <w:pPr>
        <w:jc w:val="center"/>
        <w:rPr>
          <w:rFonts w:hint="eastAsia" w:ascii="黑体" w:hAnsi="黑体" w:eastAsia="黑体" w:cs="黑体"/>
          <w:sz w:val="36"/>
          <w:szCs w:val="36"/>
          <w:lang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jc w:val="center"/>
        <w:rPr>
          <w:rFonts w:hint="eastAsia" w:ascii="黑体" w:hAnsi="黑体" w:eastAsia="黑体" w:cs="黑体"/>
          <w:sz w:val="36"/>
          <w:szCs w:val="36"/>
          <w:lang w:eastAsia="zh-CN"/>
        </w:rPr>
      </w:pP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目</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录</w:t>
      </w:r>
    </w:p>
    <w:p>
      <w:pPr>
        <w:jc w:val="center"/>
        <w:rPr>
          <w:rFonts w:hint="eastAsia" w:ascii="黑体" w:hAnsi="黑体" w:eastAsia="黑体" w:cs="黑体"/>
          <w:sz w:val="36"/>
          <w:szCs w:val="36"/>
          <w:lang w:eastAsia="zh-CN"/>
        </w:rPr>
      </w:pPr>
    </w:p>
    <w:sdt>
      <w:sdtPr>
        <w:rPr>
          <w:rFonts w:ascii="宋体" w:hAnsi="宋体" w:eastAsia="宋体" w:cstheme="minorBidi"/>
          <w:kern w:val="2"/>
          <w:sz w:val="21"/>
          <w:szCs w:val="24"/>
          <w:lang w:val="en-US" w:eastAsia="zh-CN" w:bidi="ar-SA"/>
        </w:rPr>
        <w:id w:val="147467543"/>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5"/>
            <w:tabs>
              <w:tab w:val="right" w:leader="dot" w:pos="8306"/>
            </w:tabs>
            <w:jc w:val="both"/>
            <w:rPr>
              <w:rFonts w:hint="eastAsia" w:ascii="仿宋_GB2312" w:hAnsi="仿宋_GB2312" w:eastAsia="仿宋_GB2312" w:cs="仿宋_GB2312"/>
              <w:sz w:val="28"/>
              <w:szCs w:val="28"/>
            </w:rPr>
          </w:pPr>
          <w:r>
            <w:rPr>
              <w:rFonts w:hint="eastAsia"/>
              <w:sz w:val="28"/>
              <w:szCs w:val="28"/>
              <w:lang w:val="en-US" w:eastAsia="zh-CN"/>
            </w:rPr>
            <w:fldChar w:fldCharType="begin"/>
          </w:r>
          <w:r>
            <w:rPr>
              <w:rFonts w:hint="eastAsia"/>
              <w:sz w:val="28"/>
              <w:szCs w:val="28"/>
              <w:lang w:val="en-US" w:eastAsia="zh-CN"/>
            </w:rPr>
            <w:instrText xml:space="preserve">TOC \o "1-1" \h \u </w:instrText>
          </w:r>
          <w:r>
            <w:rPr>
              <w:rFonts w:hint="eastAsia"/>
              <w:sz w:val="28"/>
              <w:szCs w:val="28"/>
              <w:lang w:val="en-US" w:eastAsia="zh-CN"/>
            </w:rPr>
            <w:fldChar w:fldCharType="separate"/>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_Toc24095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sz w:val="28"/>
              <w:szCs w:val="28"/>
              <w:lang w:val="en-US" w:eastAsia="zh-CN"/>
            </w:rPr>
            <w:t>案例一：非法处置“毛垃圾”造成污染获刑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fldChar w:fldCharType="end"/>
          </w:r>
        </w:p>
        <w:p>
          <w:pPr>
            <w:pStyle w:val="5"/>
            <w:tabs>
              <w:tab w:val="right" w:leader="dot" w:pos="8306"/>
            </w:tabs>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_Toc29088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sz w:val="28"/>
              <w:szCs w:val="28"/>
              <w:lang w:eastAsia="zh-CN"/>
            </w:rPr>
            <w:t>案例</w:t>
          </w: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lang w:eastAsia="zh-CN"/>
            </w:rPr>
            <w:t>非法捕杀濒危“活化石”中华鲟获刑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eastAsia="zh-CN"/>
            </w:rPr>
            <w:fldChar w:fldCharType="end"/>
          </w:r>
        </w:p>
        <w:p>
          <w:pPr>
            <w:pStyle w:val="5"/>
            <w:tabs>
              <w:tab w:val="right" w:leader="dot" w:pos="8306"/>
            </w:tabs>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案例三：非法占用农用地，案件审理与修复治理并进</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5</w:t>
          </w:r>
        </w:p>
        <w:p>
          <w:pPr>
            <w:pStyle w:val="5"/>
            <w:tabs>
              <w:tab w:val="right" w:leader="dot" w:pos="8306"/>
            </w:tabs>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_Toc28112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sz w:val="28"/>
              <w:szCs w:val="28"/>
              <w:lang w:eastAsia="zh-CN"/>
            </w:rPr>
            <w:t>案例</w:t>
          </w:r>
          <w:r>
            <w:rPr>
              <w:rFonts w:hint="eastAsia" w:ascii="仿宋_GB2312" w:hAnsi="仿宋_GB2312" w:eastAsia="仿宋_GB2312" w:cs="仿宋_GB2312"/>
              <w:bCs/>
              <w:sz w:val="28"/>
              <w:szCs w:val="28"/>
              <w:lang w:val="en-US" w:eastAsia="zh-CN"/>
            </w:rPr>
            <w:t>四:持枪猎捕鸟类，</w:t>
          </w:r>
          <w:r>
            <w:rPr>
              <w:rFonts w:hint="eastAsia" w:ascii="仿宋_GB2312" w:hAnsi="仿宋_GB2312" w:eastAsia="仿宋_GB2312" w:cs="仿宋_GB2312"/>
              <w:bCs/>
              <w:sz w:val="28"/>
              <w:szCs w:val="28"/>
              <w:lang w:eastAsia="zh-CN"/>
            </w:rPr>
            <w:t>“劳务代偿”承担生态修复责任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val="en-US" w:eastAsia="zh-CN"/>
            </w:rPr>
            <w:fldChar w:fldCharType="end"/>
          </w:r>
        </w:p>
        <w:p>
          <w:pPr>
            <w:pStyle w:val="5"/>
            <w:tabs>
              <w:tab w:val="right" w:leader="dot" w:pos="8306"/>
            </w:tabs>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_Toc9651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sz w:val="28"/>
              <w:szCs w:val="28"/>
              <w:lang w:eastAsia="zh-CN"/>
            </w:rPr>
            <w:t>案例</w:t>
          </w:r>
          <w:r>
            <w:rPr>
              <w:rFonts w:hint="eastAsia" w:ascii="仿宋_GB2312" w:hAnsi="仿宋_GB2312" w:eastAsia="仿宋_GB2312" w:cs="仿宋_GB2312"/>
              <w:bCs/>
              <w:sz w:val="28"/>
              <w:szCs w:val="28"/>
              <w:lang w:val="en-US" w:eastAsia="zh-CN"/>
            </w:rPr>
            <w:t>五:</w:t>
          </w:r>
          <w:r>
            <w:rPr>
              <w:rFonts w:hint="eastAsia" w:ascii="仿宋_GB2312" w:hAnsi="仿宋_GB2312" w:eastAsia="仿宋_GB2312" w:cs="仿宋_GB2312"/>
              <w:bCs/>
              <w:sz w:val="28"/>
              <w:szCs w:val="28"/>
            </w:rPr>
            <w:t>村委会</w:t>
          </w:r>
          <w:r>
            <w:rPr>
              <w:rFonts w:hint="eastAsia" w:ascii="仿宋_GB2312" w:hAnsi="仿宋_GB2312" w:eastAsia="仿宋_GB2312" w:cs="仿宋_GB2312"/>
              <w:bCs/>
              <w:sz w:val="28"/>
              <w:szCs w:val="28"/>
              <w:lang w:val="en-US" w:eastAsia="zh-CN"/>
            </w:rPr>
            <w:t>代为处置危废费用应由行为人负担</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en-US" w:eastAsia="zh-CN"/>
            </w:rPr>
            <w:fldChar w:fldCharType="end"/>
          </w:r>
        </w:p>
        <w:p>
          <w:pPr>
            <w:pStyle w:val="5"/>
            <w:tabs>
              <w:tab w:val="right" w:leader="dot" w:pos="8306"/>
            </w:tabs>
            <w:jc w:val="both"/>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_Toc23919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sz w:val="28"/>
              <w:szCs w:val="28"/>
              <w:lang w:val="en-US" w:eastAsia="zh-CN"/>
            </w:rPr>
            <w:t>案例六:</w:t>
          </w:r>
          <w:r>
            <w:rPr>
              <w:rFonts w:hint="eastAsia" w:ascii="仿宋_GB2312" w:hAnsi="仿宋_GB2312" w:eastAsia="仿宋_GB2312" w:cs="仿宋_GB2312"/>
              <w:bCs/>
              <w:sz w:val="28"/>
              <w:szCs w:val="28"/>
              <w:lang w:eastAsia="zh-CN"/>
            </w:rPr>
            <w:t>府院联动力促被占滩涂及时腾退</w:t>
          </w:r>
          <w:r>
            <w:rPr>
              <w:rFonts w:hint="eastAsia" w:ascii="仿宋_GB2312" w:hAnsi="仿宋_GB2312" w:eastAsia="仿宋_GB2312" w:cs="仿宋_GB2312"/>
              <w:bCs/>
              <w:sz w:val="28"/>
              <w:szCs w:val="28"/>
              <w:lang w:val="en-US" w:eastAsia="zh-CN"/>
            </w:rPr>
            <w:t>复绿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1</w:t>
          </w:r>
        </w:p>
        <w:p>
          <w:pPr>
            <w:pStyle w:val="5"/>
            <w:tabs>
              <w:tab w:val="right" w:leader="dot" w:pos="8306"/>
            </w:tabs>
            <w:jc w:val="both"/>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_Toc2087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sz w:val="28"/>
              <w:szCs w:val="28"/>
              <w:lang w:val="en-US" w:eastAsia="zh-CN"/>
            </w:rPr>
            <w:t>案例七:“赔偿磋商+司法确认”协同共治长江跨域非法采砂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3</w:t>
          </w:r>
        </w:p>
        <w:p>
          <w:pPr>
            <w:pStyle w:val="5"/>
            <w:tabs>
              <w:tab w:val="right" w:leader="dot" w:pos="8306"/>
            </w:tabs>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_Toc12603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sz w:val="28"/>
              <w:szCs w:val="28"/>
            </w:rPr>
            <w:t>案例</w:t>
          </w:r>
          <w:r>
            <w:rPr>
              <w:rFonts w:hint="eastAsia" w:ascii="仿宋_GB2312" w:hAnsi="仿宋_GB2312" w:eastAsia="仿宋_GB2312" w:cs="仿宋_GB2312"/>
              <w:bCs/>
              <w:sz w:val="28"/>
              <w:szCs w:val="28"/>
              <w:lang w:val="en-US" w:eastAsia="zh-CN"/>
            </w:rPr>
            <w:t>八</w:t>
          </w:r>
          <w:r>
            <w:rPr>
              <w:rFonts w:hint="eastAsia" w:ascii="仿宋_GB2312" w:hAnsi="仿宋_GB2312" w:eastAsia="仿宋_GB2312" w:cs="仿宋_GB2312"/>
              <w:bCs/>
              <w:sz w:val="28"/>
              <w:szCs w:val="28"/>
            </w:rPr>
            <w:t>：节能</w:t>
          </w:r>
          <w:r>
            <w:rPr>
              <w:rFonts w:hint="eastAsia" w:ascii="仿宋_GB2312" w:hAnsi="仿宋_GB2312" w:eastAsia="仿宋_GB2312" w:cs="仿宋_GB2312"/>
              <w:bCs/>
              <w:sz w:val="28"/>
              <w:szCs w:val="28"/>
              <w:lang w:val="en-US" w:eastAsia="zh-CN"/>
            </w:rPr>
            <w:t>改造效益符合约定，收益分享应按约履行</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_Toc12603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5"/>
            <w:tabs>
              <w:tab w:val="right" w:leader="dot" w:pos="8306"/>
            </w:tabs>
            <w:jc w:val="both"/>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_Toc7021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sz w:val="28"/>
              <w:szCs w:val="28"/>
              <w:lang w:val="en-US" w:eastAsia="zh-CN"/>
            </w:rPr>
            <w:t>案例九：违反排污许可证未载明标准亦需承担行政责任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7</w:t>
          </w:r>
        </w:p>
        <w:p>
          <w:pPr>
            <w:pStyle w:val="5"/>
            <w:tabs>
              <w:tab w:val="right" w:leader="dot" w:pos="8306"/>
            </w:tabs>
            <w:jc w:val="both"/>
            <w:rPr>
              <w:rFonts w:hint="default"/>
              <w:sz w:val="28"/>
              <w:szCs w:val="28"/>
              <w:lang w:val="en-US"/>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_Toc7582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sz w:val="28"/>
              <w:szCs w:val="28"/>
              <w:lang w:val="en-US" w:eastAsia="zh-CN"/>
            </w:rPr>
            <w:t>案例十：以绿色执行理念妥善化解468亩林木腾退</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9</w:t>
          </w:r>
        </w:p>
        <w:p>
          <w:pPr>
            <w:jc w:val="both"/>
            <w:rPr>
              <w:rFonts w:hint="eastAsia" w:asciiTheme="minorHAnsi" w:hAnsiTheme="minorHAnsi" w:eastAsiaTheme="minorEastAsia" w:cstheme="minorBidi"/>
              <w:kern w:val="2"/>
              <w:sz w:val="21"/>
              <w:szCs w:val="24"/>
              <w:lang w:val="en-US" w:eastAsia="zh-CN" w:bidi="ar-SA"/>
            </w:rPr>
          </w:pPr>
          <w:r>
            <w:rPr>
              <w:rFonts w:hint="eastAsia"/>
              <w:sz w:val="28"/>
              <w:szCs w:val="28"/>
              <w:lang w:val="en-US" w:eastAsia="zh-CN"/>
            </w:rPr>
            <w:fldChar w:fldCharType="end"/>
          </w:r>
        </w:p>
      </w:sdtContent>
    </w:sdt>
    <w:p>
      <w:pPr>
        <w:rPr>
          <w:rFonts w:hint="eastAsia" w:asciiTheme="minorHAnsi" w:hAnsiTheme="minorHAnsi" w:eastAsiaTheme="minorEastAsia" w:cstheme="minorBidi"/>
          <w:kern w:val="2"/>
          <w:sz w:val="21"/>
          <w:szCs w:val="24"/>
          <w:lang w:val="en-US" w:eastAsia="zh-CN" w:bidi="ar-SA"/>
        </w:rPr>
      </w:pPr>
    </w:p>
    <w:p>
      <w:pPr>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ascii="Arial Unicode MS" w:hAnsi="Arial Unicode MS" w:eastAsia="Arial Unicode MS" w:cs="Arial Unicode MS"/>
          <w:b w:val="0"/>
          <w:bCs/>
          <w:sz w:val="36"/>
          <w:szCs w:val="36"/>
          <w:lang w:val="en-US" w:eastAsia="zh-CN"/>
        </w:rPr>
      </w:pPr>
    </w:p>
    <w:p>
      <w:pPr>
        <w:rPr>
          <w:rFonts w:hint="eastAsia" w:ascii="Arial Unicode MS" w:hAnsi="Arial Unicode MS" w:eastAsia="Arial Unicode MS" w:cs="Arial Unicode MS"/>
          <w:b w:val="0"/>
          <w:bCs/>
          <w:sz w:val="36"/>
          <w:szCs w:val="36"/>
          <w:lang w:val="en-US" w:eastAsia="zh-CN"/>
        </w:rPr>
      </w:pPr>
    </w:p>
    <w:p>
      <w:pPr>
        <w:rPr>
          <w:rFonts w:hint="eastAsia" w:ascii="Arial Unicode MS" w:hAnsi="Arial Unicode MS" w:eastAsia="Arial Unicode MS" w:cs="Arial Unicode MS"/>
          <w:b w:val="0"/>
          <w:bCs/>
          <w:sz w:val="36"/>
          <w:szCs w:val="36"/>
          <w:lang w:val="en-US" w:eastAsia="zh-CN"/>
        </w:rPr>
      </w:pPr>
    </w:p>
    <w:p>
      <w:pPr>
        <w:rPr>
          <w:rFonts w:hint="eastAsia" w:ascii="Arial Unicode MS" w:hAnsi="Arial Unicode MS" w:eastAsia="Arial Unicode MS" w:cs="Arial Unicode MS"/>
          <w:b w:val="0"/>
          <w:bCs/>
          <w:sz w:val="36"/>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val="0"/>
          <w:bCs w:val="0"/>
          <w:sz w:val="32"/>
          <w:szCs w:val="32"/>
          <w:lang w:val="en-US" w:eastAsia="zh-CN"/>
        </w:rPr>
      </w:pPr>
      <w:bookmarkStart w:id="0" w:name="_Toc24095"/>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val="0"/>
          <w:bCs w:val="0"/>
          <w:sz w:val="32"/>
          <w:szCs w:val="32"/>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案例一：</w:t>
      </w:r>
      <w:bookmarkEnd w:id="0"/>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val="0"/>
          <w:sz w:val="32"/>
          <w:szCs w:val="32"/>
          <w:lang w:val="en-US" w:eastAsia="zh-CN"/>
        </w:rPr>
      </w:pPr>
      <w:bookmarkStart w:id="1" w:name="_Toc24005"/>
    </w:p>
    <w:p>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非法处置“毛垃圾”造成污染获刑</w:t>
      </w:r>
      <w:bookmarkEnd w:id="1"/>
    </w:p>
    <w:p>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eastAsia" w:ascii="黑体" w:hAnsi="黑体" w:eastAsia="黑体" w:cs="黑体"/>
          <w:b w:val="0"/>
          <w:bCs w:val="0"/>
          <w:sz w:val="36"/>
          <w:szCs w:val="36"/>
          <w:lang w:val="en-US" w:eastAsia="zh-CN"/>
        </w:rPr>
      </w:pPr>
      <w:bookmarkStart w:id="2" w:name="_Toc2855"/>
      <w:bookmarkStart w:id="3" w:name="_Toc10117"/>
      <w:r>
        <w:rPr>
          <w:rFonts w:hint="eastAsia" w:ascii="黑体" w:hAnsi="黑体" w:eastAsia="黑体" w:cs="黑体"/>
          <w:b w:val="0"/>
          <w:bCs w:val="0"/>
          <w:sz w:val="36"/>
          <w:szCs w:val="36"/>
          <w:lang w:val="en-US" w:eastAsia="zh-CN"/>
        </w:rPr>
        <w:t>——李某猛、李某甲等污染环境罪案</w:t>
      </w:r>
      <w:bookmarkEnd w:id="2"/>
      <w:bookmarkEnd w:id="3"/>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（2025年人民法院案例库入库参考案例，2024年度</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上海法院“100个精品案例”）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基本案情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8月，被告人李某甲与李某猛协商，由李某猛将其使用的位于崇明区的某鱼塘作为卸点，提供给李某甲倾倒“毛垃圾”。2021年8月21日至28日，李某甲等人将共计约110车“毛垃圾”从外区装运后，运输至李某猛提供的鱼塘内倾倒。2021年9月11日至13日、9月26日至28日期间，由王某军提供挖机司机装运垃圾、刘某负责车辆调度，李某甲等人将堆放于某垃圾场的共约160车“毛垃圾”转运至李某猛提供的鱼塘内倾倒。经司法鉴定科学研究院鉴定，涉案地块填埋的塑料袋、织物、碎砖等固体废物需进行清理、外运处置等，总费用估算为人民币545.23万元。经计算，被告人李某猛致公私财产损失约438.10万元，被告人李某甲、李某乙、张某飞致使公私财产损失约180万元，被告人王某军、刘某致使公私财产损失约160万元。崇明区人民法院经审理认为，李某猛、李某甲、李某乙、王某军、刘某、张某飞等人犯污染环境罪，分别判处有期徒刑二年至四年三个月不等的刑罚，并处罚金，违法所得予以追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典型意义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毛垃圾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是建筑垃圾与生活垃圾混合在一起的固体废物，属于其他有害物质，倾倒、填埋在地下会造成地下水环境损害，严重破坏相应区域的生态环境。本案系崇明区人民法院受理的首例涉及非法倾倒“毛垃圾”造成环境污染案件，涉案被告人人数较多，且在污染环境犯罪中分工明确、组织有序，是一起典型的团伙性犯罪。本案中，被告人非法倾倒、填埋“毛垃圾”既对涉案区域地下水环境造成损害，也对土地资源的合理有效利用造成影响，严重破坏生态环境。本案裁判严厉打击了非法倾倒“毛垃圾”的行为，为保护生态环境、保障人民群众生命和财产安全作出积极贡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b w:val="0"/>
          <w:bCs w:val="0"/>
          <w:sz w:val="32"/>
          <w:szCs w:val="32"/>
          <w:lang w:val="en-US" w:eastAsia="zh-CN"/>
        </w:rPr>
      </w:pPr>
      <w:bookmarkStart w:id="4" w:name="_Toc29088"/>
      <w:r>
        <w:rPr>
          <w:rFonts w:hint="eastAsia" w:ascii="黑体" w:hAnsi="黑体" w:eastAsia="黑体" w:cs="黑体"/>
          <w:b w:val="0"/>
          <w:bCs w:val="0"/>
          <w:sz w:val="32"/>
          <w:szCs w:val="32"/>
          <w:lang w:val="en-US" w:eastAsia="zh-CN"/>
        </w:rPr>
        <w:t>案例二:</w:t>
      </w:r>
      <w:bookmarkEnd w:id="4"/>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val="0"/>
          <w:sz w:val="32"/>
          <w:szCs w:val="32"/>
          <w:lang w:val="en-US" w:eastAsia="zh-CN"/>
        </w:rPr>
      </w:pPr>
      <w:bookmarkStart w:id="5" w:name="_Toc22764"/>
    </w:p>
    <w:p>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非法捕杀濒危“活化石”中华鲟获刑</w:t>
      </w:r>
      <w:bookmarkEnd w:id="5"/>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val="0"/>
          <w:sz w:val="32"/>
          <w:szCs w:val="32"/>
          <w:lang w:val="en-US" w:eastAsia="zh-CN"/>
        </w:rPr>
      </w:pPr>
      <w:bookmarkStart w:id="6" w:name="_Toc24349"/>
      <w:bookmarkStart w:id="7" w:name="_Toc9468"/>
      <w:r>
        <w:rPr>
          <w:rFonts w:hint="eastAsia" w:ascii="黑体" w:hAnsi="黑体" w:eastAsia="黑体" w:cs="黑体"/>
          <w:b w:val="0"/>
          <w:bCs w:val="0"/>
          <w:sz w:val="32"/>
          <w:szCs w:val="32"/>
          <w:lang w:val="en-US" w:eastAsia="zh-CN"/>
        </w:rPr>
        <w:t>——邢某非法捕捞、杀害珍贵、濒危野生动物罪案</w:t>
      </w:r>
      <w:bookmarkEnd w:id="6"/>
      <w:bookmarkEnd w:id="7"/>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（上海市高级人民法院2021年第二批（总第十六批）参考性</w:t>
      </w:r>
      <w:bookmarkStart w:id="8" w:name="_Toc12670"/>
      <w:bookmarkStart w:id="9" w:name="_Toc5986"/>
      <w:r>
        <w:rPr>
          <w:rFonts w:hint="eastAsia" w:ascii="楷体_GB2312" w:hAnsi="楷体_GB2312" w:eastAsia="楷体_GB2312" w:cs="楷体_GB2312"/>
          <w:sz w:val="28"/>
          <w:szCs w:val="28"/>
          <w:lang w:val="en-US" w:eastAsia="zh-CN"/>
        </w:rPr>
        <w:t>案例、上海法院司法服务保障长江十年禁渔典型案例）</w:t>
      </w:r>
      <w:bookmarkEnd w:id="8"/>
      <w:bookmarkEnd w:id="9"/>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基本案情</w:t>
      </w:r>
      <w:r>
        <w:rPr>
          <w:rFonts w:hint="eastAsia" w:ascii="仿宋_GB2312" w:hAnsi="仿宋_GB2312" w:eastAsia="仿宋_GB2312" w:cs="仿宋_GB2312"/>
          <w:sz w:val="32"/>
          <w:szCs w:val="32"/>
          <w:lang w:eastAsia="zh-CN"/>
        </w:rPr>
        <w:t>】2019年8月6日，邢某驾驶自购渔船在没有取得捕捞许可证的情况下，行至上海市崇明区某水域，使用机轮劈水网进行拖网捕捞，捕获中华鲟活体一尾及花鲢、鲈鱼若干。后邢某将上述渔获放入冰柜，导致中华鲟活体死亡。</w:t>
      </w:r>
      <w:r>
        <w:rPr>
          <w:rFonts w:hint="eastAsia" w:ascii="仿宋_GB2312" w:hAnsi="仿宋_GB2312" w:eastAsia="仿宋_GB2312" w:cs="仿宋_GB2312"/>
          <w:sz w:val="32"/>
          <w:szCs w:val="32"/>
          <w:lang w:val="en-US" w:eastAsia="zh-CN"/>
        </w:rPr>
        <w:t>崇明区人民</w:t>
      </w:r>
      <w:r>
        <w:rPr>
          <w:rFonts w:hint="eastAsia" w:ascii="仿宋_GB2312" w:hAnsi="仿宋_GB2312" w:eastAsia="仿宋_GB2312" w:cs="仿宋_GB2312"/>
          <w:sz w:val="32"/>
          <w:szCs w:val="32"/>
          <w:lang w:eastAsia="zh-CN"/>
        </w:rPr>
        <w:t>法院最终以非法猎捕、杀害珍贵、濒危野生动物罪判处被告人邢某有期徒刑一年，并处罚金人民币5000元，赔偿因非法猎捕、杀害珍贵、濒危野生动物所造成的国家野生动物资源损失共计人民币40000元，并公开向社会公众赔礼道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典型意义</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lang w:val="en-US" w:eastAsia="zh-CN"/>
        </w:rPr>
        <w:t>华鲟是地球上现存的最古老的脊椎动物之一，至今已有1.4亿年的历史。长江口是世界上最大的河口湿地之一，是中华鲟的重要栖息地。本案是长三角区域首起非法猎捕、杀害中华鲟刑事案件，也是《上海市中华鲟保护管理条例》出台后的首例涉及非法猎捕、杀害中华鲟的案件。本案判决对于保护、延续中华鲟自然种群，维护长江流域珍贵、濒危水生野生动物栖息地生态安全具有重要的示范意义。</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bookmarkStart w:id="10" w:name="_Toc20520"/>
      <w:bookmarkStart w:id="11" w:name="_Toc26066"/>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bookmarkStart w:id="12" w:name="_Toc32756"/>
      <w:r>
        <w:rPr>
          <w:rFonts w:hint="eastAsia" w:ascii="黑体" w:hAnsi="黑体" w:eastAsia="黑体" w:cs="黑体"/>
          <w:sz w:val="32"/>
          <w:szCs w:val="32"/>
          <w:lang w:eastAsia="zh-CN"/>
        </w:rPr>
        <w:t>案例</w:t>
      </w:r>
      <w:r>
        <w:rPr>
          <w:rFonts w:hint="eastAsia" w:ascii="黑体" w:hAnsi="黑体" w:eastAsia="黑体" w:cs="黑体"/>
          <w:sz w:val="32"/>
          <w:szCs w:val="32"/>
          <w:lang w:val="en-US" w:eastAsia="zh-CN"/>
        </w:rPr>
        <w:t>三:</w:t>
      </w:r>
      <w:bookmarkEnd w:id="12"/>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bookmarkStart w:id="13" w:name="_Toc9846"/>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sz w:val="36"/>
          <w:szCs w:val="36"/>
          <w:lang w:val="en-US"/>
        </w:rPr>
      </w:pPr>
      <w:r>
        <w:rPr>
          <w:rFonts w:hint="eastAsia" w:ascii="黑体" w:hAnsi="黑体" w:eastAsia="黑体" w:cs="黑体"/>
          <w:b w:val="0"/>
          <w:bCs w:val="0"/>
          <w:sz w:val="36"/>
          <w:szCs w:val="36"/>
          <w:lang w:val="en-US" w:eastAsia="zh-CN"/>
        </w:rPr>
        <w:t>非法占用农用地，案件审理与修复治理</w:t>
      </w:r>
      <w:bookmarkEnd w:id="10"/>
      <w:r>
        <w:rPr>
          <w:rFonts w:hint="eastAsia" w:ascii="黑体" w:hAnsi="黑体" w:eastAsia="黑体" w:cs="黑体"/>
          <w:b w:val="0"/>
          <w:bCs w:val="0"/>
          <w:sz w:val="36"/>
          <w:szCs w:val="36"/>
          <w:lang w:val="en-US" w:eastAsia="zh-CN"/>
        </w:rPr>
        <w:t>并进</w:t>
      </w:r>
      <w:bookmarkEnd w:id="13"/>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sz w:val="30"/>
          <w:szCs w:val="30"/>
        </w:rPr>
      </w:pPr>
      <w:bookmarkStart w:id="14" w:name="_Toc5424"/>
      <w:bookmarkStart w:id="15" w:name="_Toc28063"/>
      <w:r>
        <w:rPr>
          <w:rFonts w:hint="eastAsia" w:ascii="黑体" w:hAnsi="黑体" w:eastAsia="黑体" w:cs="黑体"/>
          <w:b w:val="0"/>
          <w:bCs w:val="0"/>
          <w:sz w:val="30"/>
          <w:szCs w:val="30"/>
          <w:lang w:eastAsia="zh-CN"/>
        </w:rPr>
        <w:t>——</w:t>
      </w:r>
      <w:r>
        <w:rPr>
          <w:rFonts w:hint="eastAsia" w:ascii="黑体" w:hAnsi="黑体" w:eastAsia="黑体" w:cs="黑体"/>
          <w:b w:val="0"/>
          <w:bCs w:val="0"/>
          <w:sz w:val="30"/>
          <w:szCs w:val="30"/>
          <w:lang w:val="en-US" w:eastAsia="zh-CN"/>
        </w:rPr>
        <w:t>吴某等</w:t>
      </w:r>
      <w:r>
        <w:rPr>
          <w:rFonts w:hint="eastAsia" w:ascii="黑体" w:hAnsi="黑体" w:eastAsia="黑体" w:cs="黑体"/>
          <w:b w:val="0"/>
          <w:bCs w:val="0"/>
          <w:sz w:val="30"/>
          <w:szCs w:val="30"/>
        </w:rPr>
        <w:t>非法占用农用地刑事附带民事公益诉讼案</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（2025年上海市高级人民法院 上海市人民检察院环境资源</w:t>
      </w:r>
      <w:bookmarkEnd w:id="14"/>
      <w:bookmarkEnd w:id="15"/>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sz w:val="28"/>
          <w:szCs w:val="28"/>
          <w:lang w:val="en-US" w:eastAsia="zh-CN"/>
        </w:rPr>
      </w:pPr>
      <w:bookmarkStart w:id="16" w:name="_Toc6769"/>
      <w:bookmarkStart w:id="17" w:name="_Toc1048"/>
      <w:r>
        <w:rPr>
          <w:rFonts w:hint="eastAsia" w:ascii="楷体_GB2312" w:hAnsi="楷体_GB2312" w:eastAsia="楷体_GB2312" w:cs="楷体_GB2312"/>
          <w:sz w:val="28"/>
          <w:szCs w:val="28"/>
          <w:lang w:val="en-US" w:eastAsia="zh-CN"/>
        </w:rPr>
        <w:t>公益诉讼优秀案例）</w:t>
      </w:r>
      <w:bookmarkEnd w:id="16"/>
      <w:bookmarkEnd w:id="17"/>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基本案情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年，吴某承接了某鱼塘填埋、改建工程，并交由张某具体负责，获益由二人共享。因填埋鱼塘工程需要用土，2023年3月至4月期间，张某与吴某等人商量后安排挖机、农用车在某镇某号南侧地块取土，并用于填埋鱼塘。为填平上述因取土造成的土坑，吴某、张某等人分工合作，将大量杂填土直接倾倒在上述地块，吴某收取卸点费19200元。经认定，上述被破坏的10.62亩地块均系永久基本农田。经鉴定，涉案地块因取土被开挖，堆放杂填土被压占，致使土地种植条件遭严重毁坏。同年8月，经司法鉴定机构鉴定案涉地块种植条件严重破坏，地块开挖、压占与永久基本农田损害之间有明确因果关系，生态环境修复费用人民币163万余元。公诉机关遂向崇明区人民法院提起刑事附带民事公益诉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崇明区人民法院经审理认为，被告人吴某、张某违反土地管理法规，非法占用耕地，改变被占用土地用途，造成永久基本农田毁坏，其行为均构成非法占用农用地罪。依法判处吴某、张某有期徒刑七个月、八个月，并处罚金，追缴各被告人违法所得等。对于民事公益诉讼部分，审理中先后召开推进会、评审会等，并综合考量案涉地块受损程度、修复可行性等因素，在诉中积极督促引导被告先行开展土壤修复复垦工作，最终促成双方达成调解协议。后，崇明区人民法院持续跟进修复工作，召集鉴定机构、检察机关及相关行政职能部门，并邀请人民监督员共同对案涉区域生态修复情况进行验收评审，调解书确定的内容全部履行完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典型意义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土地是不可再生资源，保护耕地关乎国计民生，同时耕地生态系统是重要的生态屏障，具有调节气候、净化空气、保持水土等生态功能，保护耕地有助于维护区域生态平衡，促进生物多样性，保护自然资源和生态环境。合理利用和保护耕地资源，是实现经济社会可持续发展的重要保障，不仅关系到当代人的生存和发展，更关系到子孙后代的福祉。本案中，人民法院在案件处理中严格贯彻恢复性司法理念，推动刑事审理与生态治理同步推进，实现生态环境案件从审理到治理的闭环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bookmarkStart w:id="18" w:name="_Toc2952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bookmarkStart w:id="19" w:name="_Toc28112"/>
      <w:r>
        <w:rPr>
          <w:rFonts w:hint="eastAsia" w:ascii="黑体" w:hAnsi="黑体" w:eastAsia="黑体" w:cs="黑体"/>
          <w:sz w:val="32"/>
          <w:szCs w:val="32"/>
          <w:lang w:eastAsia="zh-CN"/>
        </w:rPr>
        <w:t>案例</w:t>
      </w:r>
      <w:r>
        <w:rPr>
          <w:rFonts w:hint="eastAsia" w:ascii="黑体" w:hAnsi="黑体" w:eastAsia="黑体" w:cs="黑体"/>
          <w:sz w:val="32"/>
          <w:szCs w:val="32"/>
          <w:lang w:val="en-US" w:eastAsia="zh-CN"/>
        </w:rPr>
        <w:t>四:</w:t>
      </w:r>
      <w:bookmarkEnd w:id="19"/>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lang w:val="en-US" w:eastAsia="zh-CN"/>
        </w:rPr>
      </w:pPr>
      <w:bookmarkStart w:id="20" w:name="_Toc1019"/>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持枪猎捕鸟类，</w:t>
      </w:r>
      <w:r>
        <w:rPr>
          <w:rFonts w:hint="eastAsia" w:ascii="黑体" w:hAnsi="黑体" w:eastAsia="黑体" w:cs="黑体"/>
          <w:sz w:val="36"/>
          <w:szCs w:val="36"/>
          <w:lang w:eastAsia="zh-CN"/>
        </w:rPr>
        <w:t>“劳务代偿”承担生态修复责任</w:t>
      </w:r>
      <w:bookmarkEnd w:id="20"/>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6"/>
          <w:szCs w:val="36"/>
          <w:lang w:eastAsia="zh-CN"/>
        </w:rPr>
      </w:pPr>
      <w:bookmarkStart w:id="21" w:name="_Toc9107"/>
      <w:bookmarkStart w:id="22" w:name="_Toc31627"/>
      <w:r>
        <w:rPr>
          <w:rFonts w:hint="eastAsia" w:ascii="黑体" w:hAnsi="黑体" w:eastAsia="黑体" w:cs="黑体"/>
          <w:sz w:val="36"/>
          <w:szCs w:val="36"/>
          <w:lang w:val="en-US" w:eastAsia="zh-CN"/>
        </w:rPr>
        <w:t>——</w:t>
      </w:r>
      <w:bookmarkEnd w:id="18"/>
      <w:r>
        <w:rPr>
          <w:rFonts w:hint="eastAsia" w:ascii="黑体" w:hAnsi="黑体" w:eastAsia="黑体" w:cs="黑体"/>
          <w:sz w:val="36"/>
          <w:szCs w:val="36"/>
          <w:lang w:val="en-US" w:eastAsia="zh-CN"/>
        </w:rPr>
        <w:t>施某非法狩猎罪案</w:t>
      </w:r>
      <w:bookmarkEnd w:id="21"/>
      <w:bookmarkEnd w:id="22"/>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（2022年上海法院生态环境民事公益诉讼典型案例）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基本案情</w:t>
      </w:r>
      <w:r>
        <w:rPr>
          <w:rFonts w:hint="eastAsia" w:ascii="仿宋_GB2312" w:hAnsi="仿宋_GB2312" w:eastAsia="仿宋_GB2312" w:cs="仿宋_GB2312"/>
          <w:sz w:val="32"/>
          <w:szCs w:val="32"/>
          <w:lang w:eastAsia="zh-CN"/>
        </w:rPr>
        <w:t>】2020年10月至2021年2月期间，施某伙同陆某、李某、王某（均另案处理）等人多次在崇明地区持枪猎捕野生鸟类51只，被</w:t>
      </w:r>
      <w:r>
        <w:rPr>
          <w:rFonts w:hint="eastAsia" w:ascii="仿宋_GB2312" w:hAnsi="仿宋_GB2312" w:eastAsia="仿宋_GB2312" w:cs="仿宋_GB2312"/>
          <w:sz w:val="32"/>
          <w:szCs w:val="32"/>
          <w:lang w:val="en-US" w:eastAsia="zh-CN"/>
        </w:rPr>
        <w:t>崇明区人民</w:t>
      </w:r>
      <w:r>
        <w:rPr>
          <w:rFonts w:hint="eastAsia" w:ascii="仿宋_GB2312" w:hAnsi="仿宋_GB2312" w:eastAsia="仿宋_GB2312" w:cs="仿宋_GB2312"/>
          <w:sz w:val="32"/>
          <w:szCs w:val="32"/>
          <w:lang w:eastAsia="zh-CN"/>
        </w:rPr>
        <w:t>法院以非法狩猎罪判处拘役四个月十五日。经司法鉴定科学研究院鉴定，施某与他人非法狩猎造成的生物资源经济损失共计76400元，其中受损鸟类的直接损失为19100元，恢复费用为57300元。2021年7月，有关部门作为磋商主体与施某就生态损害赔偿经磋商达成协议，协议约定：施某以货币和劳务结合形式承担生态环境赔偿责任，其中货币赔偿共计34000元，生态养护工作、公益宣传活动劳务代偿共计6个月等。协议签订后，双方共同向</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lang w:eastAsia="zh-CN"/>
        </w:rPr>
        <w:t>法院提出申请，请求确认双方签订的生态环境损害赔偿磋商协议有效。</w:t>
      </w:r>
      <w:r>
        <w:rPr>
          <w:rFonts w:hint="eastAsia" w:ascii="仿宋_GB2312" w:hAnsi="仿宋_GB2312" w:eastAsia="仿宋_GB2312" w:cs="仿宋_GB2312"/>
          <w:sz w:val="32"/>
          <w:szCs w:val="32"/>
          <w:lang w:val="en-US" w:eastAsia="zh-CN"/>
        </w:rPr>
        <w:t>崇明区人民</w:t>
      </w:r>
      <w:r>
        <w:rPr>
          <w:rFonts w:hint="eastAsia" w:ascii="仿宋_GB2312" w:hAnsi="仿宋_GB2312" w:eastAsia="仿宋_GB2312" w:cs="仿宋_GB2312"/>
          <w:sz w:val="32"/>
          <w:szCs w:val="32"/>
          <w:lang w:eastAsia="zh-CN"/>
        </w:rPr>
        <w:t>法院依法对上述协议进行审查，并出具民事裁定书，确认有关部门与施某签订的《生态环境损害赔偿磋商协议》有效。民事裁定作出后，施某主动履行了协议所确定的义务。案件审结后，</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lang w:eastAsia="zh-CN"/>
        </w:rPr>
        <w:t>法院定期开展案件回访，对劳务代偿工作进行实时监督，真正落实生态修复的目的。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典型意义</w:t>
      </w:r>
      <w:r>
        <w:rPr>
          <w:rFonts w:hint="eastAsia" w:ascii="仿宋_GB2312" w:hAnsi="仿宋_GB2312" w:eastAsia="仿宋_GB2312" w:cs="仿宋_GB2312"/>
          <w:sz w:val="32"/>
          <w:szCs w:val="32"/>
          <w:lang w:eastAsia="zh-CN"/>
        </w:rPr>
        <w:t>】本案是全市法院首例以“劳务代偿”作为环境民事侵权责任承担方式的案件。以劳务代偿的修复方式体现了惩罚与修复并重的恢复性司法理念，既遵循了“谁损害、谁赔偿”的宗旨，又彰显了司法的温度，发挥了遏制不法行为与预防警示教育的双重作用，对于实现环境资源审判的政治效果、法律效果、社会效果、生态效果相统一具有重大意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bookmarkStart w:id="23" w:name="_Toc19132"/>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bookmarkStart w:id="24" w:name="_Toc9651"/>
      <w:r>
        <w:rPr>
          <w:rFonts w:hint="eastAsia" w:ascii="黑体" w:hAnsi="黑体" w:eastAsia="黑体" w:cs="黑体"/>
          <w:sz w:val="32"/>
          <w:szCs w:val="32"/>
          <w:lang w:eastAsia="zh-CN"/>
        </w:rPr>
        <w:t>案例</w:t>
      </w:r>
      <w:r>
        <w:rPr>
          <w:rFonts w:hint="eastAsia" w:ascii="黑体" w:hAnsi="黑体" w:eastAsia="黑体" w:cs="黑体"/>
          <w:sz w:val="32"/>
          <w:szCs w:val="32"/>
          <w:lang w:val="en-US" w:eastAsia="zh-CN"/>
        </w:rPr>
        <w:t>五:</w:t>
      </w:r>
      <w:bookmarkEnd w:id="24"/>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bookmarkStart w:id="25" w:name="_Toc9996"/>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rPr>
        <w:t>村委会</w:t>
      </w:r>
      <w:r>
        <w:rPr>
          <w:rFonts w:hint="eastAsia" w:ascii="黑体" w:hAnsi="黑体" w:eastAsia="黑体" w:cs="黑体"/>
          <w:sz w:val="36"/>
          <w:szCs w:val="36"/>
          <w:lang w:val="en-US" w:eastAsia="zh-CN"/>
        </w:rPr>
        <w:t>代为处置危废费用应由行为人</w:t>
      </w:r>
      <w:bookmarkStart w:id="26" w:name="_Toc11155"/>
      <w:r>
        <w:rPr>
          <w:rFonts w:hint="eastAsia" w:ascii="黑体" w:hAnsi="黑体" w:eastAsia="黑体" w:cs="黑体"/>
          <w:sz w:val="36"/>
          <w:szCs w:val="36"/>
          <w:lang w:val="en-US" w:eastAsia="zh-CN"/>
        </w:rPr>
        <w:t>负担</w:t>
      </w:r>
      <w:bookmarkEnd w:id="25"/>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0"/>
          <w:szCs w:val="30"/>
        </w:rPr>
      </w:pPr>
      <w:bookmarkStart w:id="27" w:name="_Toc19592"/>
      <w:r>
        <w:rPr>
          <w:rFonts w:hint="eastAsia" w:ascii="黑体" w:hAnsi="黑体" w:eastAsia="黑体" w:cs="黑体"/>
          <w:sz w:val="30"/>
          <w:szCs w:val="30"/>
          <w:lang w:eastAsia="zh-CN"/>
        </w:rPr>
        <w:t>——</w:t>
      </w:r>
      <w:bookmarkEnd w:id="23"/>
      <w:r>
        <w:rPr>
          <w:rFonts w:hint="eastAsia" w:ascii="黑体" w:hAnsi="黑体" w:eastAsia="黑体" w:cs="黑体"/>
          <w:sz w:val="30"/>
          <w:szCs w:val="30"/>
        </w:rPr>
        <w:t>上海某村民委员会诉张某、龙某祥、徐某忠固体废物</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0"/>
          <w:szCs w:val="30"/>
        </w:rPr>
      </w:pPr>
      <w:bookmarkStart w:id="58" w:name="_GoBack"/>
      <w:bookmarkEnd w:id="58"/>
      <w:r>
        <w:rPr>
          <w:rFonts w:hint="eastAsia" w:ascii="黑体" w:hAnsi="黑体" w:eastAsia="黑体" w:cs="黑体"/>
          <w:sz w:val="30"/>
          <w:szCs w:val="30"/>
        </w:rPr>
        <w:t>污染责任纠纷案</w:t>
      </w:r>
      <w:bookmarkEnd w:id="26"/>
      <w:bookmarkEnd w:id="27"/>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（2024年人民法院案例库入库参考案例，</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2021年上海法院涉民生环境资源审判典型案例）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基本案情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自2016年1月起，被告张某在未办理环保审批、无任何环保设备的情况下，利用租用的某村民委员会老窑厂厂房开办加工厂，从事非法利用、处置危险废物的经营活动，并随意露天倾倒炉渣灰。2017年4月，被告龙某租赁老窑厂约200平方米厂房用于生产，并搭建土炉，火化空调散热铝片成铝锭出卖，并将炉渣灰与张某的炉渣灰倾倒在一处。2017年10月19日后，被告龙某停止了火化炼铝生产。2018年3月29日，环保部门会同公安机关至上述地址检查，查获大量废电子元件及炉渣灰。后经对危险废物堆放处周边土壤进行检测，受污染土壤中铜、镉、锌等元素均超标。2018年12月6日，崇明区人民法院以污染环境罪判处张某有期徒刑一年，并处罚金人民币一万五千元。案发后，原告某村民委员会委托上海某固废处理有限公司处置上述危险废物，涉案老窑厂地块土壤指标已经恢复正常。某村民委员会对被告张某、龙某提起诉讼，要求其共同承担危废处理费用3103493元，以及为处理窑厂污染事宜支付的挖机台班费、人工费共计32134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崇明区人民法院经审理认为，被告张某非法处置废电子元件、倾倒炉渣灰，被告龙某倾倒炉渣灰，对上海某村老窑厂地块土壤造成损害，应当承担侵权责任。因此，判决被告张某负担废电子元件处理、土壤修复费用共计437024.25元，被告张某、龙某共同负担炉渣灰处理、土壤修复费用共计2698602.75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典型意义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危险废物具有毒性、腐蚀性等危险特性，随意排放、非法处置危险废物会破坏生态环境，并带来大气污染、土壤污染、水污染等环境问题，影响人类健康。污染者虽然因污染环境行为受到了刑事处罚，但仍需就其污染环境行为所造成的损害承担民事侵权责任。既依法追究污染者违法犯罪的刑事责任，又追究其破坏环境的民事侵权责任，“双管齐下”可以有效提高污染者的违法成本，不仅可以使被污染的环境得到及时修复，也可以在惩戒违法行为的同时预防类似行为的发生。</w:t>
      </w:r>
      <w:bookmarkStart w:id="28" w:name="_Toc30817"/>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32"/>
          <w:szCs w:val="32"/>
          <w:lang w:val="en-US" w:eastAsia="zh-CN"/>
        </w:rPr>
      </w:pPr>
      <w:bookmarkStart w:id="29" w:name="_Toc23919"/>
      <w:r>
        <w:rPr>
          <w:rFonts w:hint="eastAsia" w:ascii="黑体" w:hAnsi="黑体" w:eastAsia="黑体" w:cs="黑体"/>
          <w:sz w:val="32"/>
          <w:szCs w:val="32"/>
          <w:lang w:val="en-US" w:eastAsia="zh-CN"/>
        </w:rPr>
        <w:t>案例六:</w:t>
      </w:r>
      <w:bookmarkEnd w:id="29"/>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6"/>
          <w:szCs w:val="36"/>
          <w:lang w:val="en-US" w:eastAsia="zh-CN"/>
        </w:rPr>
      </w:pPr>
      <w:bookmarkStart w:id="30" w:name="_Toc27862"/>
      <w:r>
        <w:rPr>
          <w:rFonts w:hint="eastAsia" w:ascii="黑体" w:hAnsi="黑体" w:eastAsia="黑体" w:cs="黑体"/>
          <w:sz w:val="36"/>
          <w:szCs w:val="36"/>
          <w:lang w:eastAsia="zh-CN"/>
        </w:rPr>
        <w:t>府院联动力促被占滩涂及时腾退</w:t>
      </w:r>
      <w:r>
        <w:rPr>
          <w:rFonts w:hint="eastAsia" w:ascii="黑体" w:hAnsi="黑体" w:eastAsia="黑体" w:cs="黑体"/>
          <w:sz w:val="36"/>
          <w:szCs w:val="36"/>
          <w:lang w:val="en-US" w:eastAsia="zh-CN"/>
        </w:rPr>
        <w:t>复绿</w:t>
      </w:r>
      <w:bookmarkEnd w:id="30"/>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lang w:eastAsia="zh-CN"/>
        </w:rPr>
      </w:pPr>
      <w:bookmarkStart w:id="31" w:name="_Toc26044"/>
      <w:bookmarkStart w:id="32" w:name="_Toc18712"/>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某区海塘管理所诉上海某建筑材料公司土地租赁合同纠纷案</w:t>
      </w:r>
      <w:bookmarkEnd w:id="31"/>
      <w:bookmarkEnd w:id="32"/>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sz w:val="28"/>
          <w:szCs w:val="28"/>
          <w:lang w:val="en-US" w:eastAsia="zh-CN"/>
        </w:rPr>
      </w:pPr>
      <w:bookmarkStart w:id="33" w:name="_Toc18372"/>
      <w:bookmarkStart w:id="34" w:name="_Toc32108"/>
      <w:r>
        <w:rPr>
          <w:rFonts w:hint="eastAsia" w:ascii="楷体_GB2312" w:hAnsi="楷体_GB2312" w:eastAsia="楷体_GB2312" w:cs="楷体_GB2312"/>
          <w:sz w:val="28"/>
          <w:szCs w:val="28"/>
          <w:lang w:val="en-US" w:eastAsia="zh-CN"/>
        </w:rPr>
        <w:t>（最高人民法院湿地生态保护典型案例）</w:t>
      </w:r>
      <w:bookmarkEnd w:id="33"/>
      <w:bookmarkEnd w:id="34"/>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bookmarkEnd w:id="28"/>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基本案情</w:t>
      </w:r>
      <w:r>
        <w:rPr>
          <w:rFonts w:hint="eastAsia" w:ascii="仿宋_GB2312" w:hAnsi="仿宋_GB2312" w:eastAsia="仿宋_GB2312" w:cs="仿宋_GB2312"/>
          <w:sz w:val="32"/>
          <w:szCs w:val="32"/>
          <w:lang w:eastAsia="zh-CN"/>
        </w:rPr>
        <w:t>】2003年5月，原告某区海塘管理所与被告上海某建筑材料有限公司签订协议，被告承租约27000平方米滩涂作砂石堆场至2019年6月底。2009年2月，被告在该土地上建造了若干临时水泥桶仓及封闭式砂料堆场，从事混凝土生产、加工。2019年3月起，原告多次向被告发出告知书，明确合同期满后将不再续租，要求被告限期腾退土地，均遭拒绝，遂涉讼。在审理过程中，经</w:t>
      </w:r>
      <w:r>
        <w:rPr>
          <w:rFonts w:hint="eastAsia" w:ascii="仿宋_GB2312" w:hAnsi="仿宋_GB2312" w:eastAsia="仿宋_GB2312" w:cs="仿宋_GB2312"/>
          <w:sz w:val="32"/>
          <w:szCs w:val="32"/>
          <w:lang w:val="en-US" w:eastAsia="zh-CN"/>
        </w:rPr>
        <w:t>崇明区人民</w:t>
      </w:r>
      <w:r>
        <w:rPr>
          <w:rFonts w:hint="eastAsia" w:ascii="仿宋_GB2312" w:hAnsi="仿宋_GB2312" w:eastAsia="仿宋_GB2312" w:cs="仿宋_GB2312"/>
          <w:sz w:val="32"/>
          <w:szCs w:val="32"/>
          <w:lang w:eastAsia="zh-CN"/>
        </w:rPr>
        <w:t>法院组织调解，被告先行腾退了近四分之三的承租区域，仍保留水泥桶仓和封闭式砂料堆场，拒绝停产停业。</w:t>
      </w:r>
      <w:r>
        <w:rPr>
          <w:rFonts w:hint="eastAsia" w:ascii="仿宋_GB2312" w:hAnsi="仿宋_GB2312" w:eastAsia="仿宋_GB2312" w:cs="仿宋_GB2312"/>
          <w:sz w:val="32"/>
          <w:szCs w:val="32"/>
          <w:lang w:val="en-US" w:eastAsia="zh-CN"/>
        </w:rPr>
        <w:t>崇明区人民</w:t>
      </w:r>
      <w:r>
        <w:rPr>
          <w:rFonts w:hint="eastAsia" w:ascii="仿宋_GB2312" w:hAnsi="仿宋_GB2312" w:eastAsia="仿宋_GB2312" w:cs="仿宋_GB2312"/>
          <w:sz w:val="32"/>
          <w:szCs w:val="32"/>
          <w:lang w:eastAsia="zh-CN"/>
        </w:rPr>
        <w:t>法院经审理认为，被告是基于租赁协议取得涉案滩涂的使用权利，现租赁期限届满，被告依约应当及时腾退、交还土地，并作出相应判决。被告不服，提起上诉。二审法院驳回上诉，维持原判。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典型意义</w:t>
      </w:r>
      <w:r>
        <w:rPr>
          <w:rFonts w:hint="eastAsia" w:ascii="仿宋_GB2312" w:hAnsi="仿宋_GB2312" w:eastAsia="仿宋_GB2312" w:cs="仿宋_GB2312"/>
          <w:sz w:val="32"/>
          <w:szCs w:val="32"/>
          <w:lang w:eastAsia="zh-CN"/>
        </w:rPr>
        <w:t>】滩涂蕴藏着丰富的生物资源，是湿地的重要组成部分，也是生态系统最脆弱的地带之一。为尽快收回滩涂，恢复生态功能，人民法院坚持恢复性司法理念，采取“分期先予腾退、确保全面清退”的工作思路，深度运用生态环境协同工作机制，联合驻区河长制办公室法官工作室协商制定工作方案，共同协调化解案件，积极引导被告主动先行腾退部分滩涂。对于被告拒绝腾退的区域，依法及时作出裁判，确保滩涂区域的整体全面清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bookmarkStart w:id="35" w:name="_Toc10522"/>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32"/>
          <w:szCs w:val="32"/>
          <w:lang w:val="en-US" w:eastAsia="zh-CN"/>
        </w:rPr>
      </w:pPr>
      <w:bookmarkStart w:id="36" w:name="_Toc2087"/>
      <w:r>
        <w:rPr>
          <w:rFonts w:hint="eastAsia" w:ascii="黑体" w:hAnsi="黑体" w:eastAsia="黑体" w:cs="黑体"/>
          <w:sz w:val="32"/>
          <w:szCs w:val="32"/>
          <w:lang w:val="en-US" w:eastAsia="zh-CN"/>
        </w:rPr>
        <w:t>案例七:</w:t>
      </w:r>
      <w:bookmarkEnd w:id="36"/>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bookmarkStart w:id="37" w:name="_Toc10178"/>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“赔偿磋商+司法确认”协同共治长江跨域非法采砂</w:t>
      </w:r>
      <w:bookmarkEnd w:id="37"/>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6"/>
          <w:szCs w:val="36"/>
          <w:lang w:val="en-US" w:eastAsia="zh-CN"/>
        </w:rPr>
      </w:pPr>
      <w:bookmarkStart w:id="38" w:name="_Toc13098"/>
      <w:bookmarkStart w:id="39" w:name="_Toc10745"/>
      <w:r>
        <w:rPr>
          <w:rFonts w:hint="eastAsia" w:ascii="黑体" w:hAnsi="黑体" w:eastAsia="黑体" w:cs="黑体"/>
          <w:sz w:val="36"/>
          <w:szCs w:val="36"/>
          <w:lang w:val="en-US" w:eastAsia="zh-CN"/>
        </w:rPr>
        <w:t>——</w:t>
      </w:r>
      <w:bookmarkEnd w:id="35"/>
      <w:r>
        <w:rPr>
          <w:rFonts w:hint="eastAsia" w:ascii="黑体" w:hAnsi="黑体" w:eastAsia="黑体" w:cs="黑体"/>
          <w:sz w:val="36"/>
          <w:szCs w:val="36"/>
          <w:lang w:val="en-US" w:eastAsia="zh-CN"/>
        </w:rPr>
        <w:t>胡某某生态环境损害赔偿磋商协议司法确认案</w:t>
      </w:r>
      <w:bookmarkEnd w:id="38"/>
      <w:bookmarkEnd w:id="39"/>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（上海法院服务保障长江经济带发展、</w:t>
      </w:r>
      <w:bookmarkStart w:id="40" w:name="_Toc1089"/>
      <w:bookmarkStart w:id="41" w:name="_Toc24300"/>
      <w:r>
        <w:rPr>
          <w:rFonts w:hint="eastAsia" w:ascii="楷体_GB2312" w:hAnsi="楷体_GB2312" w:eastAsia="楷体_GB2312" w:cs="楷体_GB2312"/>
          <w:sz w:val="28"/>
          <w:szCs w:val="28"/>
          <w:lang w:val="en-US" w:eastAsia="zh-CN"/>
        </w:rPr>
        <w:t>长三角区域一体化发展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典型审判案例）</w:t>
      </w:r>
      <w:bookmarkEnd w:id="40"/>
      <w:bookmarkEnd w:id="4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基本案情</w:t>
      </w:r>
      <w:r>
        <w:rPr>
          <w:rFonts w:hint="eastAsia" w:ascii="仿宋_GB2312" w:hAnsi="仿宋_GB2312" w:eastAsia="仿宋_GB2312" w:cs="仿宋_GB2312"/>
          <w:sz w:val="32"/>
          <w:szCs w:val="32"/>
          <w:lang w:eastAsia="zh-CN"/>
        </w:rPr>
        <w:t>】2019年7月，经胡某某与魏某某事先联系，胡某某驾驶货运船与魏某某、刘某某驾驶的“三无”采砂船在长江某水域会合后非法采砂2次，盗采江砂共计1414.38吨，胡某某被江苏省如皋市人民法院以非法采砂罪判处承担刑事责任。本案非法采砂行为发生在崇明岛西南侧。经生态环境损害评估鉴定，涉案非法盗采砂石导致的生态环境修复赔偿费用共计13575元。有关部门与胡某某磋商，确定由胡某某以货币形式承担生态环境修复费用及损害评估费用共计21000元。协议签订后，双方共同向</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lang w:eastAsia="zh-CN"/>
        </w:rPr>
        <w:t>法院申请确认生态环境损害赔偿磋商协议的效力。崇明区</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lang w:eastAsia="zh-CN"/>
        </w:rPr>
        <w:t>法院在尊重当事人意思自治的前提下，从磋商程序合法性、磋商协议专业性、科学性及可操作性、公共利益保护充分性等方面，对磋商协议的内容进行全面审查，最终出具民事裁定书，确认有关部门与胡某某签订的磋商协议有效。民事裁定作出后，胡某某主动履行了协议所确定的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典型意义</w:t>
      </w:r>
      <w:r>
        <w:rPr>
          <w:rFonts w:hint="eastAsia" w:ascii="仿宋_GB2312" w:hAnsi="仿宋_GB2312" w:eastAsia="仿宋_GB2312" w:cs="仿宋_GB2312"/>
          <w:sz w:val="32"/>
          <w:szCs w:val="32"/>
          <w:lang w:eastAsia="zh-CN"/>
        </w:rPr>
        <w:t>】本案系长三角跨行政区域探索生态环境共保联治机制的典型案例。由于自然资源的流动性，破坏生态环境的侵权行为所造成的损害后果往往涉及多个行政区域，需要跨域联动执法、司法，才能统筹推进生态环境保护。本案作为跨行政区域生态环境损害赔偿磋商成功并予以司法确认的案例，在推进长三角一体化生态保护信息互通、机制联动方面积累了宝贵经验，有助于探索区域协调发展新路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bookmarkStart w:id="42" w:name="_Toc12603"/>
      <w:r>
        <w:rPr>
          <w:rFonts w:hint="eastAsia" w:ascii="黑体" w:hAnsi="黑体" w:eastAsia="黑体" w:cs="黑体"/>
          <w:sz w:val="32"/>
          <w:szCs w:val="32"/>
        </w:rPr>
        <w:t>案例</w:t>
      </w:r>
      <w:r>
        <w:rPr>
          <w:rFonts w:hint="eastAsia" w:ascii="黑体" w:hAnsi="黑体" w:eastAsia="黑体" w:cs="黑体"/>
          <w:sz w:val="32"/>
          <w:szCs w:val="32"/>
          <w:lang w:val="en-US" w:eastAsia="zh-CN"/>
        </w:rPr>
        <w:t>八</w:t>
      </w:r>
      <w:r>
        <w:rPr>
          <w:rFonts w:hint="eastAsia" w:ascii="黑体" w:hAnsi="黑体" w:eastAsia="黑体" w:cs="黑体"/>
          <w:sz w:val="32"/>
          <w:szCs w:val="32"/>
        </w:rPr>
        <w:t>：</w:t>
      </w:r>
      <w:bookmarkEnd w:id="42"/>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bookmarkStart w:id="43" w:name="_Toc1511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rPr>
        <w:t>节能</w:t>
      </w:r>
      <w:r>
        <w:rPr>
          <w:rFonts w:hint="eastAsia" w:ascii="黑体" w:hAnsi="黑体" w:eastAsia="黑体" w:cs="黑体"/>
          <w:sz w:val="36"/>
          <w:szCs w:val="36"/>
          <w:lang w:val="en-US" w:eastAsia="zh-CN"/>
        </w:rPr>
        <w:t>改造效益符合约定，收益分享应按约履行</w:t>
      </w:r>
      <w:bookmarkEnd w:id="43"/>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6"/>
          <w:szCs w:val="36"/>
        </w:rPr>
      </w:pPr>
      <w:bookmarkStart w:id="44" w:name="_Toc24293"/>
      <w:bookmarkStart w:id="45" w:name="_Toc16942"/>
      <w:r>
        <w:rPr>
          <w:rFonts w:hint="eastAsia" w:ascii="黑体" w:hAnsi="黑体" w:eastAsia="黑体" w:cs="黑体"/>
          <w:sz w:val="36"/>
          <w:szCs w:val="36"/>
          <w:lang w:val="en-US" w:eastAsia="zh-CN"/>
        </w:rPr>
        <w:t>——某实业公司诉某造船公司合同纠纷案</w:t>
      </w:r>
      <w:bookmarkEnd w:id="44"/>
      <w:bookmarkEnd w:id="45"/>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sz w:val="28"/>
          <w:szCs w:val="28"/>
          <w:lang w:val="en-US" w:eastAsia="zh-CN"/>
        </w:rPr>
      </w:pPr>
      <w:bookmarkStart w:id="46" w:name="_Toc31845"/>
      <w:bookmarkStart w:id="47" w:name="_Toc9528"/>
      <w:r>
        <w:rPr>
          <w:rFonts w:hint="eastAsia" w:ascii="楷体_GB2312" w:hAnsi="楷体_GB2312" w:eastAsia="楷体_GB2312" w:cs="楷体_GB2312"/>
          <w:sz w:val="28"/>
          <w:szCs w:val="28"/>
          <w:lang w:val="en-US" w:eastAsia="zh-CN"/>
        </w:rPr>
        <w:t>（第二届全国法院环境资源优秀裁判文书民事类优秀奖）</w:t>
      </w:r>
      <w:bookmarkEnd w:id="46"/>
      <w:bookmarkEnd w:id="47"/>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基本案情</w:t>
      </w:r>
      <w:r>
        <w:rPr>
          <w:rFonts w:hint="eastAsia" w:ascii="仿宋_GB2312" w:hAnsi="仿宋_GB2312" w:eastAsia="仿宋_GB2312" w:cs="仿宋_GB2312"/>
          <w:sz w:val="32"/>
          <w:szCs w:val="32"/>
        </w:rPr>
        <w:t>】2012年9月，原告</w:t>
      </w:r>
      <w:r>
        <w:rPr>
          <w:rFonts w:hint="eastAsia" w:ascii="仿宋_GB2312" w:hAnsi="仿宋_GB2312" w:eastAsia="仿宋_GB2312" w:cs="仿宋_GB2312"/>
          <w:sz w:val="32"/>
          <w:szCs w:val="32"/>
          <w:lang w:val="en-US" w:eastAsia="zh-CN"/>
        </w:rPr>
        <w:t>某实业公司</w:t>
      </w:r>
      <w:r>
        <w:rPr>
          <w:rFonts w:hint="eastAsia" w:ascii="仿宋_GB2312" w:hAnsi="仿宋_GB2312" w:eastAsia="仿宋_GB2312" w:cs="仿宋_GB2312"/>
          <w:sz w:val="32"/>
          <w:szCs w:val="32"/>
        </w:rPr>
        <w:t>与被告</w:t>
      </w:r>
      <w:r>
        <w:rPr>
          <w:rFonts w:hint="eastAsia" w:ascii="仿宋_GB2312" w:hAnsi="仿宋_GB2312" w:eastAsia="仿宋_GB2312" w:cs="仿宋_GB2312"/>
          <w:sz w:val="32"/>
          <w:szCs w:val="32"/>
          <w:lang w:val="en-US" w:eastAsia="zh-CN"/>
        </w:rPr>
        <w:t>某造船公司</w:t>
      </w:r>
      <w:r>
        <w:rPr>
          <w:rFonts w:hint="eastAsia" w:ascii="仿宋_GB2312" w:hAnsi="仿宋_GB2312" w:eastAsia="仿宋_GB2312" w:cs="仿宋_GB2312"/>
          <w:sz w:val="32"/>
          <w:szCs w:val="32"/>
        </w:rPr>
        <w:t>签订《能源管理合同》，约定由原告为被告空压系统进行节能改造，节能效益分享期六年。若节能率超5%，前三年原、被告按7:3比例分享收益，后三年按6:4分享。项目验收后，双方共同委托评估确认节能率达13.94%，被告亦签发验收单。此后双方按季度确认节能量并支付节能费，持续至2015年第三季度。</w:t>
      </w:r>
      <w:r>
        <w:rPr>
          <w:rFonts w:hint="eastAsia" w:ascii="仿宋_GB2312" w:hAnsi="仿宋_GB2312" w:eastAsia="仿宋_GB2312" w:cs="仿宋_GB2312"/>
          <w:sz w:val="32"/>
          <w:szCs w:val="32"/>
          <w:lang w:val="en-US" w:eastAsia="zh-CN"/>
        </w:rPr>
        <w:t>但自2015年第四季度开始，被告开始拒付原告节能费用。</w:t>
      </w:r>
      <w:r>
        <w:rPr>
          <w:rFonts w:hint="eastAsia" w:ascii="仿宋_GB2312" w:hAnsi="仿宋_GB2312" w:eastAsia="仿宋_GB2312" w:cs="仿宋_GB2312"/>
          <w:sz w:val="32"/>
          <w:szCs w:val="32"/>
        </w:rPr>
        <w:t>原告遂诉至</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rPr>
        <w:t>法院，要求被告支付拖欠节能费共计105.9万余元及违约金。被告则反诉称，因其控股股东变更，依合同约定请求解除合同。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崇明区人民</w:t>
      </w:r>
      <w:r>
        <w:rPr>
          <w:rFonts w:hint="eastAsia" w:ascii="仿宋_GB2312" w:hAnsi="仿宋_GB2312" w:eastAsia="仿宋_GB2312" w:cs="仿宋_GB2312"/>
          <w:sz w:val="32"/>
          <w:szCs w:val="32"/>
        </w:rPr>
        <w:t>法院经审理认为，案涉合同及附件合法有效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双方曾共同委托具有合法资质的机构评估节能率，合同</w:t>
      </w:r>
      <w:r>
        <w:rPr>
          <w:rFonts w:hint="eastAsia" w:ascii="仿宋_GB2312" w:hAnsi="仿宋_GB2312" w:eastAsia="仿宋_GB2312" w:cs="仿宋_GB2312"/>
          <w:sz w:val="32"/>
          <w:szCs w:val="32"/>
          <w:lang w:eastAsia="zh-CN"/>
        </w:rPr>
        <w:t>亦</w:t>
      </w:r>
      <w:r>
        <w:rPr>
          <w:rFonts w:hint="eastAsia" w:ascii="仿宋_GB2312" w:hAnsi="仿宋_GB2312" w:eastAsia="仿宋_GB2312" w:cs="仿宋_GB2312"/>
          <w:sz w:val="32"/>
          <w:szCs w:val="32"/>
        </w:rPr>
        <w:t>明确</w:t>
      </w:r>
      <w:r>
        <w:rPr>
          <w:rFonts w:hint="eastAsia" w:ascii="仿宋_GB2312" w:hAnsi="仿宋_GB2312" w:eastAsia="仿宋_GB2312" w:cs="仿宋_GB2312"/>
          <w:sz w:val="32"/>
          <w:szCs w:val="32"/>
          <w:lang w:eastAsia="zh-CN"/>
        </w:rPr>
        <w:t>经双方验收确认的</w:t>
      </w:r>
      <w:r>
        <w:rPr>
          <w:rFonts w:hint="eastAsia" w:ascii="仿宋_GB2312" w:hAnsi="仿宋_GB2312" w:eastAsia="仿宋_GB2312" w:cs="仿宋_GB2312"/>
          <w:sz w:val="32"/>
          <w:szCs w:val="32"/>
        </w:rPr>
        <w:t>节能量</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作为今后甲乙方效益分享的节能率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此约定对双方均具有约束力</w:t>
      </w:r>
      <w:r>
        <w:rPr>
          <w:rFonts w:hint="eastAsia" w:ascii="仿宋_GB2312" w:hAnsi="仿宋_GB2312" w:eastAsia="仿宋_GB2312" w:cs="仿宋_GB2312"/>
          <w:sz w:val="32"/>
          <w:szCs w:val="32"/>
        </w:rPr>
        <w:t>。被告控股股东变更，</w:t>
      </w:r>
      <w:r>
        <w:rPr>
          <w:rFonts w:hint="eastAsia" w:ascii="仿宋_GB2312" w:hAnsi="仿宋_GB2312" w:eastAsia="仿宋_GB2312" w:cs="仿宋_GB2312"/>
          <w:sz w:val="32"/>
          <w:szCs w:val="32"/>
          <w:lang w:val="en-US" w:eastAsia="zh-CN"/>
        </w:rPr>
        <w:t>不能作为其解除合同的理由，</w:t>
      </w:r>
      <w:r>
        <w:rPr>
          <w:rFonts w:hint="eastAsia" w:ascii="仿宋_GB2312" w:hAnsi="仿宋_GB2312" w:eastAsia="仿宋_GB2312" w:cs="仿宋_GB2312"/>
          <w:sz w:val="32"/>
          <w:szCs w:val="32"/>
        </w:rPr>
        <w:t>其</w:t>
      </w:r>
      <w:r>
        <w:rPr>
          <w:rFonts w:hint="eastAsia" w:ascii="仿宋_GB2312" w:hAnsi="仿宋_GB2312" w:eastAsia="仿宋_GB2312" w:cs="仿宋_GB2312"/>
          <w:sz w:val="32"/>
          <w:szCs w:val="32"/>
          <w:lang w:val="en-US" w:eastAsia="zh-CN"/>
        </w:rPr>
        <w:t>也</w:t>
      </w:r>
      <w:r>
        <w:rPr>
          <w:rFonts w:hint="eastAsia" w:ascii="仿宋_GB2312" w:hAnsi="仿宋_GB2312" w:eastAsia="仿宋_GB2312" w:cs="仿宋_GB2312"/>
          <w:sz w:val="32"/>
          <w:szCs w:val="32"/>
        </w:rPr>
        <w:t>未能提供证据证明该变更严重影响其履约能力。据此，判决</w:t>
      </w:r>
      <w:r>
        <w:rPr>
          <w:rFonts w:hint="eastAsia" w:ascii="仿宋_GB2312" w:hAnsi="仿宋_GB2312" w:eastAsia="仿宋_GB2312" w:cs="仿宋_GB2312"/>
          <w:sz w:val="32"/>
          <w:szCs w:val="32"/>
          <w:lang w:eastAsia="zh-CN"/>
        </w:rPr>
        <w:t>支持了原告全部诉讼请求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驳回了被告的全部反诉请求。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典型意义</w:t>
      </w:r>
      <w:r>
        <w:rPr>
          <w:rFonts w:hint="eastAsia" w:ascii="仿宋_GB2312" w:hAnsi="仿宋_GB2312" w:eastAsia="仿宋_GB2312" w:cs="仿宋_GB2312"/>
          <w:sz w:val="32"/>
          <w:szCs w:val="32"/>
          <w:lang w:val="en-US" w:eastAsia="zh-CN"/>
        </w:rPr>
        <w:t>】以节能效益分享为核心的商业模式，是运用市场化机制推动节能降碳的重要路径。该模式通过节能服务方前期投入、用能方以节能收益分期偿付的方式，实现零投入节能改造与按效付费的共赢格局。随着“双碳”目标的深入推进，完善市场化节能服务机制，已成为更高水平开展节能降碳工作的重要举措。然而，这一模式的生命线在于合同各方恪守诚实信用、维系长期合作信赖。一旦用能方在效益分享期内单方面否认既定结算依据、拖欠应付款项，将严重挫伤社会资本参与节能改造的积极性，动摇市场化节能机制运行的根基。本案中，人民法院依法支持节能服务方的诉讼请求，有力维护了长期合同的稳定性，保障了诚信守约方的合法预期，为市场化节能服务领域树立了诚实守信的司法导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bookmarkStart w:id="48" w:name="_Toc7021"/>
      <w:r>
        <w:rPr>
          <w:rFonts w:hint="eastAsia" w:ascii="黑体" w:hAnsi="黑体" w:eastAsia="黑体" w:cs="黑体"/>
          <w:sz w:val="32"/>
          <w:szCs w:val="32"/>
          <w:lang w:val="en-US" w:eastAsia="zh-CN"/>
        </w:rPr>
        <w:t>案例九：</w:t>
      </w:r>
      <w:bookmarkEnd w:id="48"/>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bookmarkStart w:id="49" w:name="_Toc114"/>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违反排污许可证未载明标准亦需承担行政责任</w:t>
      </w:r>
      <w:bookmarkEnd w:id="49"/>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lang w:val="en-US" w:eastAsia="zh-CN"/>
        </w:rPr>
      </w:pPr>
      <w:bookmarkStart w:id="50" w:name="_Toc8327"/>
      <w:bookmarkStart w:id="51" w:name="_Toc20713"/>
      <w:r>
        <w:rPr>
          <w:rFonts w:hint="eastAsia" w:ascii="黑体" w:hAnsi="黑体" w:eastAsia="黑体" w:cs="黑体"/>
          <w:sz w:val="28"/>
          <w:szCs w:val="28"/>
          <w:lang w:val="en-US" w:eastAsia="zh-CN"/>
        </w:rPr>
        <w:t>——某建筑材料公司诉某区生态环境局、某区人民政府行政处罚案</w:t>
      </w:r>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（2023年度上海法院“100个精品案例”）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基本案情</w:t>
      </w:r>
      <w:r>
        <w:rPr>
          <w:rFonts w:hint="eastAsia" w:ascii="仿宋_GB2312" w:hAnsi="仿宋_GB2312" w:eastAsia="仿宋_GB2312" w:cs="仿宋_GB2312"/>
          <w:sz w:val="32"/>
          <w:szCs w:val="32"/>
          <w:lang w:val="en-US" w:eastAsia="zh-CN"/>
        </w:rPr>
        <w:t>】2021年6月13日，某区生态环境局对某建筑材料公司检查中发现其存在臭气排放超标的情况，经听证后结合污染物数目、超标情况、影响程度等因素，对某建筑材料公司作出罚款48万元决定。某建筑公司认为，在其环评及排污许可中无臭气要求，因此申请行政复议。某区人民政府受理后经审查维持前述处罚决定。某建筑材料公司仍不服，遂提起诉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崇明区人民法院经审查认为，某建筑材料公司生产经营中确实产生了恶臭污染物，故其行为应受到《恶臭污染物排放标准》约束。某区生态环境局作出行政处罚所依据的《检测报告》合法有效，其依据排污数量、超标情况、影响程度等因素作出的行政处罚，程序合法、适用法律准确。某区人民政府收到某建筑材料公司行政复议申请后，依法进行了审查，复议程序合法，法律适用正确。综上，判决驳回某建筑材料公司的诉讼请求。某建筑材料公司不服一审判决提起上诉，二审法院审理后驳回上诉，维持原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典型意义</w:t>
      </w:r>
      <w:r>
        <w:rPr>
          <w:rFonts w:hint="eastAsia" w:ascii="仿宋_GB2312" w:hAnsi="仿宋_GB2312" w:eastAsia="仿宋_GB2312" w:cs="仿宋_GB2312"/>
          <w:sz w:val="32"/>
          <w:szCs w:val="32"/>
          <w:lang w:val="en-US" w:eastAsia="zh-CN"/>
        </w:rPr>
        <w:t>】企业在开展生产活动时会持续与环境进行物质和能量交换，污染物可能通过有组织或无组织方式向大气溢散。因此，即便企业已通过环境影响评价并取得排污许可证，也不意味着其环境保护义务仅局限于确保排放行为符合排污许可证载明的特定几项标准，而应持续关注自身生产活动，确保有组织排放和无组织排放均符合各类大气污染物排放标准及总量控制指标要求，以避免对周边环境造成负面影响。本案中，某建筑材料公司超出《恶臭污染物排放标准》无组织排放大量废气，严重影响周边居民正常生产生活，侵害居民环境权益并造成严重后果。环保机关依法对其作出的行政处罚，符合过罚相当原则，有利于贯彻落实用最严格制度最严密法治保护生态环境的理念，从而更全面、有力地保护生态环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32"/>
          <w:szCs w:val="32"/>
          <w:lang w:val="en-US" w:eastAsia="zh-CN"/>
        </w:rPr>
      </w:pPr>
      <w:bookmarkStart w:id="52" w:name="_Toc7582"/>
      <w:r>
        <w:rPr>
          <w:rFonts w:hint="eastAsia" w:ascii="黑体" w:hAnsi="黑体" w:eastAsia="黑体" w:cs="黑体"/>
          <w:sz w:val="32"/>
          <w:szCs w:val="32"/>
          <w:lang w:val="en-US" w:eastAsia="zh-CN"/>
        </w:rPr>
        <w:t>案例十：</w:t>
      </w:r>
      <w:bookmarkEnd w:id="52"/>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bookmarkStart w:id="53" w:name="_Toc1826"/>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以绿色执行理念妥善化解468亩林木腾退</w:t>
      </w:r>
      <w:bookmarkEnd w:id="53"/>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0"/>
          <w:szCs w:val="30"/>
          <w:lang w:val="en-US" w:eastAsia="zh-CN"/>
        </w:rPr>
      </w:pPr>
      <w:bookmarkStart w:id="54" w:name="_Toc9096"/>
      <w:bookmarkStart w:id="55" w:name="_Toc32223"/>
      <w:r>
        <w:rPr>
          <w:rFonts w:hint="eastAsia" w:ascii="黑体" w:hAnsi="黑体" w:eastAsia="黑体" w:cs="黑体"/>
          <w:sz w:val="30"/>
          <w:szCs w:val="30"/>
          <w:lang w:val="en-US" w:eastAsia="zh-CN"/>
        </w:rPr>
        <w:t>——</w:t>
      </w:r>
      <w:bookmarkEnd w:id="54"/>
      <w:r>
        <w:rPr>
          <w:rFonts w:hint="eastAsia" w:ascii="黑体" w:hAnsi="黑体" w:eastAsia="黑体" w:cs="黑体"/>
          <w:sz w:val="30"/>
          <w:szCs w:val="30"/>
          <w:lang w:val="en-US" w:eastAsia="zh-CN"/>
        </w:rPr>
        <w:t>村民小组申请执行某建设工程公司土地承包纠纷系列案</w:t>
      </w:r>
      <w:bookmarkEnd w:id="55"/>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sz w:val="28"/>
          <w:szCs w:val="28"/>
          <w:lang w:val="en-US" w:eastAsia="zh-CN"/>
        </w:rPr>
      </w:pPr>
      <w:bookmarkStart w:id="56" w:name="_Toc18597"/>
      <w:bookmarkStart w:id="57" w:name="_Toc22849"/>
      <w:r>
        <w:rPr>
          <w:rFonts w:hint="eastAsia" w:ascii="楷体_GB2312" w:hAnsi="楷体_GB2312" w:eastAsia="楷体_GB2312" w:cs="楷体_GB2312"/>
          <w:sz w:val="28"/>
          <w:szCs w:val="28"/>
          <w:lang w:val="en-US" w:eastAsia="zh-CN"/>
        </w:rPr>
        <w:t>（人民法院执行典型案例）</w:t>
      </w:r>
      <w:bookmarkEnd w:id="56"/>
      <w:bookmarkEnd w:id="57"/>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基本案情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2014年，某建设工程公司与崇明区某村11个村民小组签订土地承包经营权流转合同，约定承租各村民小组土地共468亩，因经营不善拖欠租金，11个村民小组分别向人民法院提起诉讼。2021年，崇明区人民法院最终判决解除双方签订的土地承包经营权流转合同，某建设工程公司将承租的468亩土地平复还耕后腾退返还给各村民小组，并支付逾期未付的租金。判决生效后，某建设工程公司未履行义务，11个村民小组分别向人民法院申请强制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崇明区人民法院在执行中发现，涉案土地上的林木包括樱花树、香樟树、榉树等在内共27种近35万株，品种多样数量繁多，且部分品种有一定稀缺性，具有相当的经济价值及生态价值。若强行腾退，不仅工程量巨大，而且也易造成苗木死亡、土壤破坏，可能引发次级生态灾害，不利于土地的可持续发展。若对地上林木进行评估拍卖，一方面评估费用不菲且面临流拍风险，另一方面拍卖成交后仍需对林木进行腾退，生态资源仍面临破坏之虞。为此，人民法院多次召集双方就本案租金支付、土地腾退进行协商，并会同镇政府等相关职能部门召开联席会议，就案件化解寻求最优解决方案。经人民法院积极协调，涉案土地所在镇政府对土地进行公开招租，成功引入第三方公司对林木进行整体收购，并与村民小组就涉案土地签订土地流转合同。至此，被执行人所欠土地租金得以全部支付完毕，本案得到妥善解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ajorEastAsia" w:hAnsiTheme="majorEastAsia" w:eastAsiaTheme="majorEastAsia" w:cstheme="majorEastAsia"/>
          <w:kern w:val="2"/>
          <w:sz w:val="32"/>
          <w:szCs w:val="32"/>
          <w:lang w:val="en-US" w:eastAsia="zh-CN" w:bidi="ar-S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典型意义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案中，土地腾退与兑现租金债权、保护生态环境之间呈现出一种紧张的对立关系。因被执行人名下除涉案土地上的林木外无其他可供执行的财产，启动林木拍卖，是常规的执行路径。但是在执行中发现，启动林木拍卖具有评估成本高、拍卖难度大、执结周期长、社会效果差等难点问题。在综合考虑上述因素后，人民法院确立了“民生为本、生态优先”的工作思路，在执行工作中落实“绿水青山就是金山银山”的生态保护理念，紧盯村民权益的落实落地和生态环境保护。通过与涉案土地所在的镇政府积极协调沟通，成功引入第三方对林木予以整体收购，并与申请执行人签订土地流转租赁合同，既优先实现了村民的租金债权，同时在保全林木这一生态资源的基础上，为生态环境保护、涉案土地的可持续发展和村民的长远收益提供了解决方案，实现政治效果、社会效果、法律效果和生态效果的有机统一。</w:t>
      </w:r>
    </w:p>
    <w:bookmarkEnd w:id="11"/>
    <w:p>
      <w:pPr>
        <w:jc w:val="both"/>
        <w:rPr>
          <w:rFonts w:hint="eastAsia" w:asciiTheme="majorEastAsia" w:hAnsiTheme="majorEastAsia" w:eastAsiaTheme="majorEastAsia" w:cstheme="majorEastAsia"/>
          <w:sz w:val="32"/>
          <w:szCs w:val="32"/>
          <w:lang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Arial Unicode MS">
    <w:altName w:val="DejaVu Sans"/>
    <w:panose1 w:val="020B0604020202020204"/>
    <w:charset w:val="86"/>
    <w:family w:val="auto"/>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w:t>
                          </w:r>
                          <w:r>
                            <w:rPr>
                              <w:rFonts w:hint="eastAsia" w:asciiTheme="majorEastAsia" w:hAnsiTheme="majorEastAsia" w:eastAsiaTheme="majorEastAsia" w:cstheme="majorEastAsia"/>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w:t>
                    </w:r>
                    <w:r>
                      <w:rPr>
                        <w:rFonts w:hint="eastAsia" w:asciiTheme="majorEastAsia" w:hAnsiTheme="majorEastAsia" w:eastAsiaTheme="majorEastAsia" w:cstheme="majorEastAsia"/>
                        <w:sz w:val="30"/>
                        <w:szCs w:val="30"/>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D11D6"/>
    <w:rsid w:val="01C13B82"/>
    <w:rsid w:val="03675541"/>
    <w:rsid w:val="04E67F8B"/>
    <w:rsid w:val="06F05713"/>
    <w:rsid w:val="07022B16"/>
    <w:rsid w:val="074851E1"/>
    <w:rsid w:val="0AA96E24"/>
    <w:rsid w:val="0F1F29F0"/>
    <w:rsid w:val="0FAB5200"/>
    <w:rsid w:val="10304744"/>
    <w:rsid w:val="103338B1"/>
    <w:rsid w:val="17DF5CD5"/>
    <w:rsid w:val="1EE77E0A"/>
    <w:rsid w:val="1F3D831B"/>
    <w:rsid w:val="1F420B99"/>
    <w:rsid w:val="1F9F0C2B"/>
    <w:rsid w:val="20AE6A88"/>
    <w:rsid w:val="248875F1"/>
    <w:rsid w:val="28C67F5D"/>
    <w:rsid w:val="2BFE4667"/>
    <w:rsid w:val="2BFF33E7"/>
    <w:rsid w:val="2E162111"/>
    <w:rsid w:val="30150D7E"/>
    <w:rsid w:val="30FC671A"/>
    <w:rsid w:val="35BE6B75"/>
    <w:rsid w:val="39D5A58C"/>
    <w:rsid w:val="3AF0ACBF"/>
    <w:rsid w:val="3AFF7EAB"/>
    <w:rsid w:val="3BBAF596"/>
    <w:rsid w:val="3DAF7D0F"/>
    <w:rsid w:val="3EF49618"/>
    <w:rsid w:val="3F667B8C"/>
    <w:rsid w:val="3F763CA1"/>
    <w:rsid w:val="3F9F8A40"/>
    <w:rsid w:val="3FF96E5C"/>
    <w:rsid w:val="3FFAA2CE"/>
    <w:rsid w:val="3FFF4516"/>
    <w:rsid w:val="41BFA5D6"/>
    <w:rsid w:val="44B4276B"/>
    <w:rsid w:val="46D57F8A"/>
    <w:rsid w:val="47C27B48"/>
    <w:rsid w:val="49813323"/>
    <w:rsid w:val="53947156"/>
    <w:rsid w:val="557F70CC"/>
    <w:rsid w:val="56F3FFB3"/>
    <w:rsid w:val="58D72C07"/>
    <w:rsid w:val="5E4A2FCA"/>
    <w:rsid w:val="5F6AA36D"/>
    <w:rsid w:val="5F7E113B"/>
    <w:rsid w:val="5FFB3AB3"/>
    <w:rsid w:val="62F31AFE"/>
    <w:rsid w:val="67FBE176"/>
    <w:rsid w:val="67FD0C58"/>
    <w:rsid w:val="68F03281"/>
    <w:rsid w:val="696D2771"/>
    <w:rsid w:val="6994700F"/>
    <w:rsid w:val="6D0FE3C7"/>
    <w:rsid w:val="6DEFCB91"/>
    <w:rsid w:val="6F3D6F7D"/>
    <w:rsid w:val="6FDD40D0"/>
    <w:rsid w:val="6FFF455A"/>
    <w:rsid w:val="6FFFEE3E"/>
    <w:rsid w:val="7047006F"/>
    <w:rsid w:val="747547F2"/>
    <w:rsid w:val="769D21AF"/>
    <w:rsid w:val="77526E0A"/>
    <w:rsid w:val="77CF4394"/>
    <w:rsid w:val="77DE6AEB"/>
    <w:rsid w:val="77F75106"/>
    <w:rsid w:val="7ABB371C"/>
    <w:rsid w:val="7AEF60D8"/>
    <w:rsid w:val="7AFD6AD6"/>
    <w:rsid w:val="7BC0222D"/>
    <w:rsid w:val="7BE4AD0B"/>
    <w:rsid w:val="7D3FA5D9"/>
    <w:rsid w:val="7D7E3201"/>
    <w:rsid w:val="7E7BC12B"/>
    <w:rsid w:val="7E7E0A68"/>
    <w:rsid w:val="7E8F0218"/>
    <w:rsid w:val="7F7F867D"/>
    <w:rsid w:val="7FCAE77F"/>
    <w:rsid w:val="7FFDF072"/>
    <w:rsid w:val="7FFFE113"/>
    <w:rsid w:val="9BCC8FBE"/>
    <w:rsid w:val="9FEFBF94"/>
    <w:rsid w:val="ABAD5E32"/>
    <w:rsid w:val="ADDF8A0E"/>
    <w:rsid w:val="AFE59477"/>
    <w:rsid w:val="AFE643CB"/>
    <w:rsid w:val="B0BFD69C"/>
    <w:rsid w:val="B5FFC3C2"/>
    <w:rsid w:val="B6CED847"/>
    <w:rsid w:val="BAF65572"/>
    <w:rsid w:val="BAFD2EE2"/>
    <w:rsid w:val="BBFD2A35"/>
    <w:rsid w:val="BEED064A"/>
    <w:rsid w:val="BF7F5E8D"/>
    <w:rsid w:val="BFEC61DA"/>
    <w:rsid w:val="D36D5E0B"/>
    <w:rsid w:val="D7AD43B6"/>
    <w:rsid w:val="D7FC92DA"/>
    <w:rsid w:val="D9D22C57"/>
    <w:rsid w:val="DCF79DA4"/>
    <w:rsid w:val="DDE4DF85"/>
    <w:rsid w:val="DDF51DE8"/>
    <w:rsid w:val="DF4F0662"/>
    <w:rsid w:val="E67DFEE5"/>
    <w:rsid w:val="EBF74F24"/>
    <w:rsid w:val="EEDEF5AB"/>
    <w:rsid w:val="EF757408"/>
    <w:rsid w:val="EFFF0D8B"/>
    <w:rsid w:val="F46B3A1C"/>
    <w:rsid w:val="F55DB603"/>
    <w:rsid w:val="F57BBF19"/>
    <w:rsid w:val="F5FD3E17"/>
    <w:rsid w:val="F7573090"/>
    <w:rsid w:val="F77FCE29"/>
    <w:rsid w:val="F7CE558D"/>
    <w:rsid w:val="F7CFE8A1"/>
    <w:rsid w:val="F7FEE3A1"/>
    <w:rsid w:val="F99BFF1D"/>
    <w:rsid w:val="FACE9EF1"/>
    <w:rsid w:val="FBF70583"/>
    <w:rsid w:val="FBFCF25E"/>
    <w:rsid w:val="FCD3EC09"/>
    <w:rsid w:val="FD756DFA"/>
    <w:rsid w:val="FDBE9BDF"/>
    <w:rsid w:val="FDFBF67B"/>
    <w:rsid w:val="FDFD449C"/>
    <w:rsid w:val="FE7F5299"/>
    <w:rsid w:val="FEFDC80F"/>
    <w:rsid w:val="FF5B7628"/>
    <w:rsid w:val="FF5FBEE1"/>
    <w:rsid w:val="FFA8F83E"/>
    <w:rsid w:val="FFB7F0BE"/>
    <w:rsid w:val="FFBEED43"/>
    <w:rsid w:val="FFDEA235"/>
    <w:rsid w:val="FFE998CB"/>
    <w:rsid w:val="FFF6D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标题 1 Char"/>
    <w:link w:val="2"/>
    <w:qFormat/>
    <w:uiPriority w:val="0"/>
    <w:rPr>
      <w:b/>
      <w:kern w:val="44"/>
      <w:sz w:val="44"/>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7594</Words>
  <Characters>7853</Characters>
  <Lines>0</Lines>
  <Paragraphs>0</Paragraphs>
  <TotalTime>5</TotalTime>
  <ScaleCrop>false</ScaleCrop>
  <LinksUpToDate>false</LinksUpToDate>
  <CharactersWithSpaces>7890</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2026-05-11T21:09:00Z</dcterms:created>
  <dc:creator>files</dc:creator>
  <cp:lastModifiedBy>user</cp:lastModifiedBy>
  <cp:lastPrinted>2026-06-02T08:14:00Z</cp:lastPrinted>
  <dcterms:modified xsi:type="dcterms:W3CDTF">2026-06-01T16:06:20Z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D7BC16B6DF2300B9999A166A404FE514</vt:lpwstr>
  </property>
  <property fmtid="{D5CDD505-2E9C-101B-9397-08002B2CF9AE}" pid="4" name="KSOTemplateDocerSaveRecord">
    <vt:lpwstr>eyJoZGlkIjoiZmRhOWFiZWE4ZDg2M2NjMTlkZjdmOTBhNjk2NjM0MDYiLCJ1c2VySWQiOiIyNTUxMTA5MjMifQ==</vt:lpwstr>
  </property>
</Properties>
</file>